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3B12" w14:textId="06956AF5" w:rsidR="00C72790" w:rsidRPr="005161CE" w:rsidRDefault="00F710B4" w:rsidP="005161CE">
      <w:pPr>
        <w:pStyle w:val="Brdtekst3"/>
        <w:rPr>
          <w:rFonts w:ascii="Calibri" w:hAnsi="Calibri"/>
          <w:sz w:val="24"/>
          <w:szCs w:val="24"/>
        </w:rPr>
      </w:pPr>
      <w:r w:rsidRPr="005161CE">
        <w:rPr>
          <w:rFonts w:ascii="Arial" w:hAnsi="Arial"/>
          <w:sz w:val="24"/>
          <w:szCs w:val="24"/>
        </w:rPr>
        <w:tab/>
      </w:r>
      <w:r w:rsidRPr="005161CE">
        <w:rPr>
          <w:rFonts w:ascii="Arial" w:hAnsi="Arial"/>
          <w:sz w:val="24"/>
          <w:szCs w:val="24"/>
        </w:rPr>
        <w:tab/>
      </w:r>
      <w:r w:rsidRPr="005161CE">
        <w:rPr>
          <w:rFonts w:ascii="Arial" w:hAnsi="Arial"/>
          <w:sz w:val="24"/>
          <w:szCs w:val="24"/>
        </w:rPr>
        <w:tab/>
      </w:r>
      <w:r w:rsidRPr="005161CE">
        <w:rPr>
          <w:rFonts w:ascii="Arial" w:hAnsi="Arial"/>
          <w:sz w:val="24"/>
          <w:szCs w:val="24"/>
        </w:rPr>
        <w:tab/>
      </w:r>
    </w:p>
    <w:p w14:paraId="55B115C8" w14:textId="77777777" w:rsidR="005161CE" w:rsidRPr="005161CE" w:rsidRDefault="005161CE" w:rsidP="005161CE">
      <w:pPr>
        <w:rPr>
          <w:rFonts w:ascii="DINPro" w:hAnsi="DINPro"/>
          <w:b/>
          <w:bCs/>
        </w:rPr>
      </w:pPr>
      <w:r w:rsidRPr="005161CE">
        <w:rPr>
          <w:rFonts w:ascii="DINPro" w:hAnsi="DINPro"/>
          <w:b/>
          <w:bCs/>
        </w:rPr>
        <w:t xml:space="preserve">Innspill </w:t>
      </w:r>
      <w:proofErr w:type="spellStart"/>
      <w:r w:rsidRPr="005161CE">
        <w:rPr>
          <w:rFonts w:ascii="DINPro" w:hAnsi="DINPro"/>
          <w:b/>
          <w:bCs/>
        </w:rPr>
        <w:t>FRPs</w:t>
      </w:r>
      <w:proofErr w:type="spellEnd"/>
      <w:r w:rsidRPr="005161CE">
        <w:rPr>
          <w:rFonts w:ascii="DINPro" w:hAnsi="DINPro"/>
          <w:b/>
          <w:bCs/>
        </w:rPr>
        <w:t xml:space="preserve"> partiprogram 2025-2029</w:t>
      </w:r>
    </w:p>
    <w:p w14:paraId="059D89D4" w14:textId="77777777" w:rsidR="005161CE" w:rsidRPr="005161CE" w:rsidRDefault="005161CE" w:rsidP="005161CE">
      <w:pPr>
        <w:rPr>
          <w:rFonts w:ascii="DINPro" w:hAnsi="DINPro"/>
        </w:rPr>
      </w:pPr>
    </w:p>
    <w:p w14:paraId="07BD3A46" w14:textId="77777777" w:rsidR="005161CE" w:rsidRPr="005161CE" w:rsidRDefault="005161CE" w:rsidP="005161CE">
      <w:pPr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</w:rPr>
        <w:t xml:space="preserve">SLUG – Nettverk for rettferdig gjeldspolitikk takker for muligheten til å komme med innspill til SV sitt handlingsprogram 2025 – 2029. Den globale gjeldsbyrden nådde i 2023 nye rekorder. I snitt bruker lavinntektsland tilsvarende summer på gjeldsbetjening som de gjør samlet på utdanning, helse, sosiale sikkerhetsnett og klimatilpasning. Dette svekker lands demokrati, selvstendighet og mulighet til å oppfylle befolkningens menneskerettigheter, samt kan bidra til økt urolighet og mindre stabilitet i verden. </w:t>
      </w:r>
    </w:p>
    <w:p w14:paraId="01714203" w14:textId="77777777" w:rsidR="005161CE" w:rsidRPr="005161CE" w:rsidRDefault="005161CE" w:rsidP="005161CE">
      <w:pPr>
        <w:rPr>
          <w:rFonts w:ascii="DINPro" w:hAnsi="DINPro"/>
          <w:color w:val="FF0000"/>
          <w:sz w:val="22"/>
          <w:szCs w:val="22"/>
        </w:rPr>
      </w:pPr>
    </w:p>
    <w:p w14:paraId="70FE1181" w14:textId="77777777" w:rsidR="005161CE" w:rsidRPr="005161CE" w:rsidRDefault="005161CE" w:rsidP="005161CE">
      <w:pPr>
        <w:rPr>
          <w:rFonts w:ascii="DINPro" w:hAnsi="DINPro"/>
          <w:color w:val="000000" w:themeColor="text1"/>
          <w:sz w:val="22"/>
          <w:szCs w:val="22"/>
        </w:rPr>
      </w:pPr>
      <w:r w:rsidRPr="005161CE">
        <w:rPr>
          <w:rFonts w:ascii="DINPro" w:hAnsi="DINPro"/>
          <w:color w:val="000000" w:themeColor="text1"/>
          <w:sz w:val="22"/>
          <w:szCs w:val="22"/>
        </w:rPr>
        <w:t xml:space="preserve">Våre innspill tar utgangspunkt i deres eksisterende arbeidsprogram. </w:t>
      </w:r>
    </w:p>
    <w:p w14:paraId="5DF26658" w14:textId="77777777" w:rsidR="005161CE" w:rsidRPr="005161CE" w:rsidRDefault="005161CE" w:rsidP="005161CE">
      <w:pPr>
        <w:rPr>
          <w:rFonts w:ascii="DINPro" w:hAnsi="DINPro"/>
          <w:color w:val="000000" w:themeColor="text1"/>
        </w:rPr>
      </w:pPr>
    </w:p>
    <w:p w14:paraId="374D1350" w14:textId="77777777" w:rsidR="005161CE" w:rsidRPr="005161CE" w:rsidRDefault="005161CE" w:rsidP="005161CE">
      <w:pPr>
        <w:rPr>
          <w:rFonts w:ascii="DINPro" w:hAnsi="DINPro"/>
          <w:b/>
          <w:bCs/>
        </w:rPr>
      </w:pPr>
      <w:r w:rsidRPr="005161CE">
        <w:rPr>
          <w:rFonts w:ascii="DINPro" w:hAnsi="DINPro"/>
          <w:b/>
          <w:bCs/>
        </w:rPr>
        <w:t>Norge og verden</w:t>
      </w:r>
    </w:p>
    <w:p w14:paraId="22EAB9A2" w14:textId="77777777" w:rsidR="005161CE" w:rsidRPr="005161CE" w:rsidRDefault="005161CE" w:rsidP="005161CE">
      <w:pPr>
        <w:rPr>
          <w:rFonts w:ascii="DINPro" w:hAnsi="DINPro"/>
          <w:sz w:val="22"/>
          <w:szCs w:val="22"/>
          <w:u w:val="single"/>
        </w:rPr>
      </w:pPr>
      <w:r w:rsidRPr="005161CE">
        <w:rPr>
          <w:rFonts w:ascii="DINPro" w:hAnsi="DINPro"/>
          <w:sz w:val="22"/>
          <w:szCs w:val="22"/>
          <w:u w:val="single"/>
        </w:rPr>
        <w:t xml:space="preserve">Nytt punkt: arbeide internasjonalt for å få på plass en åpen og effektiv mekanisme for gjeldsslette på tvers av kreditorer for land med ikke-bærekraftig gjeld under FN. </w:t>
      </w:r>
    </w:p>
    <w:p w14:paraId="21E03FF7" w14:textId="7FCD19E8" w:rsidR="005161CE" w:rsidRPr="005161CE" w:rsidRDefault="005161CE" w:rsidP="005161CE">
      <w:pPr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  <w:u w:val="single"/>
        </w:rPr>
        <w:t xml:space="preserve">Begrunnelse: </w:t>
      </w:r>
      <w:r w:rsidRPr="005161CE">
        <w:rPr>
          <w:rFonts w:ascii="DINPro" w:hAnsi="DINPro"/>
          <w:sz w:val="22"/>
          <w:szCs w:val="22"/>
        </w:rPr>
        <w:t>Dagens system, etablert av G20, har vist seg å være</w:t>
      </w:r>
      <w:r>
        <w:rPr>
          <w:rFonts w:ascii="DINPro" w:hAnsi="DINPro"/>
          <w:sz w:val="22"/>
          <w:szCs w:val="22"/>
        </w:rPr>
        <w:t xml:space="preserve"> lite effektivt</w:t>
      </w:r>
      <w:r w:rsidRPr="005161CE">
        <w:rPr>
          <w:rFonts w:ascii="DINPro" w:hAnsi="DINPro"/>
          <w:sz w:val="22"/>
          <w:szCs w:val="22"/>
        </w:rPr>
        <w:t xml:space="preserve">, </w:t>
      </w:r>
      <w:r>
        <w:rPr>
          <w:rFonts w:ascii="DINPro" w:hAnsi="DINPro"/>
          <w:sz w:val="22"/>
          <w:szCs w:val="22"/>
        </w:rPr>
        <w:t xml:space="preserve">begrenset </w:t>
      </w:r>
      <w:r w:rsidRPr="005161CE">
        <w:rPr>
          <w:rFonts w:ascii="DINPro" w:hAnsi="DINPro"/>
          <w:sz w:val="22"/>
          <w:szCs w:val="22"/>
        </w:rPr>
        <w:t xml:space="preserve">forutsigbart, lukket og ført til lite gjeldsreduksjon, samt ekskluderer mellominntektsland. Det er derfor nødvendig med et styrket og bedret system som sikrer forutsigbare prosesser og inkluderer alle kreditorer. </w:t>
      </w:r>
    </w:p>
    <w:p w14:paraId="33029E7A" w14:textId="77777777" w:rsidR="005161CE" w:rsidRPr="005161CE" w:rsidRDefault="005161CE" w:rsidP="005161CE">
      <w:pPr>
        <w:rPr>
          <w:rFonts w:ascii="DINPro" w:hAnsi="DINPro"/>
          <w:sz w:val="22"/>
          <w:szCs w:val="22"/>
        </w:rPr>
      </w:pPr>
    </w:p>
    <w:p w14:paraId="06868D8F" w14:textId="77777777" w:rsidR="005161CE" w:rsidRPr="005161CE" w:rsidRDefault="005161CE" w:rsidP="005161CE">
      <w:pPr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</w:rPr>
        <w:t xml:space="preserve">  </w:t>
      </w:r>
    </w:p>
    <w:p w14:paraId="72F15541" w14:textId="77777777" w:rsidR="005161CE" w:rsidRPr="005161CE" w:rsidRDefault="005161CE" w:rsidP="005161CE">
      <w:pPr>
        <w:rPr>
          <w:rFonts w:ascii="DINPro" w:hAnsi="DINPro"/>
          <w:color w:val="000000" w:themeColor="text1"/>
          <w:sz w:val="22"/>
          <w:szCs w:val="22"/>
          <w:u w:val="single"/>
        </w:rPr>
      </w:pPr>
      <w:r w:rsidRPr="005161CE">
        <w:rPr>
          <w:rFonts w:ascii="DINPro" w:hAnsi="DINPro"/>
          <w:sz w:val="22"/>
          <w:szCs w:val="22"/>
          <w:u w:val="single"/>
        </w:rPr>
        <w:t>Nytt punkt: Norge skal være en ansvarlig långiver og jobbe for styrkede globale system for å sikre ansvarlig långivning og lånopptak på statlig nivå gjennom å ta initiativ til omforente prinsipp om ansvarlig långivning</w:t>
      </w:r>
      <w:r w:rsidRPr="005161CE">
        <w:rPr>
          <w:rFonts w:ascii="DINPro" w:hAnsi="DINPro"/>
          <w:color w:val="000000" w:themeColor="text1"/>
          <w:sz w:val="22"/>
          <w:szCs w:val="22"/>
          <w:u w:val="single"/>
        </w:rPr>
        <w:t>, som inkluderer alle former for statlig gjeld, inkludert private långivere. Prinsippene kan tas i bruk ved å inkludere uansvarlig långivning og låneopptak i FNs konvensjon mot korrupsjon (</w:t>
      </w:r>
      <w:proofErr w:type="spellStart"/>
      <w:r w:rsidRPr="005161CE">
        <w:rPr>
          <w:rFonts w:ascii="DINPro" w:hAnsi="DINPro"/>
          <w:color w:val="000000" w:themeColor="text1"/>
          <w:sz w:val="22"/>
          <w:szCs w:val="22"/>
          <w:u w:val="single"/>
        </w:rPr>
        <w:t>UNCAC</w:t>
      </w:r>
      <w:proofErr w:type="spellEnd"/>
      <w:r w:rsidRPr="005161CE">
        <w:rPr>
          <w:rFonts w:ascii="DINPro" w:hAnsi="DINPro"/>
          <w:color w:val="000000" w:themeColor="text1"/>
          <w:sz w:val="22"/>
          <w:szCs w:val="22"/>
          <w:u w:val="single"/>
        </w:rPr>
        <w:t xml:space="preserve">). </w:t>
      </w:r>
    </w:p>
    <w:p w14:paraId="2F608232" w14:textId="77777777" w:rsidR="005161CE" w:rsidRPr="005161CE" w:rsidRDefault="005161CE" w:rsidP="005161CE">
      <w:pPr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  <w:u w:val="single"/>
        </w:rPr>
        <w:t>Begrunnelse:</w:t>
      </w:r>
      <w:r w:rsidRPr="005161CE">
        <w:rPr>
          <w:rFonts w:ascii="DINPro" w:hAnsi="DINPro"/>
          <w:sz w:val="22"/>
          <w:szCs w:val="22"/>
        </w:rPr>
        <w:t xml:space="preserve"> en stor utfordring i dag er at det ikke finnes omforente prinsipp om hva ansvarlig långivning og låneopptak innebærer. Dette må på plass, samt kunne tas i bruk, for å i realiteten sikre ansvarlig långivning. </w:t>
      </w:r>
    </w:p>
    <w:p w14:paraId="38830B6A" w14:textId="2F8A6255" w:rsidR="00C72790" w:rsidRPr="005161CE" w:rsidRDefault="00C72790" w:rsidP="00F710B4">
      <w:pPr>
        <w:pStyle w:val="Brdtekst3"/>
        <w:tabs>
          <w:tab w:val="left" w:pos="2760"/>
        </w:tabs>
        <w:jc w:val="both"/>
        <w:rPr>
          <w:rFonts w:ascii="Calibri" w:hAnsi="Calibri"/>
          <w:sz w:val="24"/>
          <w:szCs w:val="24"/>
        </w:rPr>
      </w:pPr>
    </w:p>
    <w:p w14:paraId="6AEB17B1" w14:textId="57F8BFB6" w:rsidR="005161CE" w:rsidRPr="005161CE" w:rsidRDefault="005161CE" w:rsidP="00F710B4">
      <w:pPr>
        <w:pStyle w:val="Brdtekst3"/>
        <w:tabs>
          <w:tab w:val="left" w:pos="2760"/>
        </w:tabs>
        <w:jc w:val="both"/>
        <w:rPr>
          <w:rFonts w:ascii="Calibri" w:hAnsi="Calibri"/>
          <w:sz w:val="24"/>
          <w:szCs w:val="24"/>
        </w:rPr>
      </w:pPr>
    </w:p>
    <w:p w14:paraId="7CDF7DDC" w14:textId="24EC4B79" w:rsidR="005161CE" w:rsidRPr="005161CE" w:rsidRDefault="005161CE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</w:p>
    <w:p w14:paraId="18181FD3" w14:textId="7089A456" w:rsidR="005161CE" w:rsidRPr="005161CE" w:rsidRDefault="005161CE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</w:p>
    <w:p w14:paraId="618D969A" w14:textId="77777777" w:rsidR="005161CE" w:rsidRDefault="005161CE" w:rsidP="005161CE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</w:rPr>
        <w:t xml:space="preserve">Vennlig hilsen, </w:t>
      </w:r>
    </w:p>
    <w:p w14:paraId="2498AF29" w14:textId="77777777" w:rsidR="005161CE" w:rsidRDefault="005161CE" w:rsidP="005161CE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</w:rPr>
        <w:t>Julie Rødje</w:t>
      </w:r>
    </w:p>
    <w:p w14:paraId="6430A124" w14:textId="4C98FFC3" w:rsidR="005161CE" w:rsidRPr="005161CE" w:rsidRDefault="005161CE" w:rsidP="005161CE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5161CE">
        <w:rPr>
          <w:rFonts w:ascii="DINPro" w:hAnsi="DINPro"/>
          <w:sz w:val="22"/>
          <w:szCs w:val="22"/>
        </w:rPr>
        <w:t xml:space="preserve">Daglig leder i SLUG </w:t>
      </w:r>
    </w:p>
    <w:sectPr w:rsidR="005161CE" w:rsidRPr="005161CE" w:rsidSect="00F71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B945" w14:textId="77777777" w:rsidR="00CD7240" w:rsidRDefault="00CD7240" w:rsidP="00F710B4">
      <w:r>
        <w:separator/>
      </w:r>
    </w:p>
  </w:endnote>
  <w:endnote w:type="continuationSeparator" w:id="0">
    <w:p w14:paraId="197CDC1C" w14:textId="77777777" w:rsidR="00CD7240" w:rsidRDefault="00CD7240" w:rsidP="00F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6FFE" w14:textId="77777777" w:rsidR="009E56F1" w:rsidRDefault="009E56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29E6" w14:textId="77777777" w:rsidR="00F710B4" w:rsidRPr="00DC221C" w:rsidRDefault="005F6FEA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SLUG - </w:t>
    </w:r>
    <w:r w:rsidR="00F710B4" w:rsidRPr="00DC221C">
      <w:rPr>
        <w:rFonts w:ascii="Arial" w:hAnsi="Arial"/>
        <w:sz w:val="18"/>
      </w:rPr>
      <w:t>Nettverk for rettferdig gjeldspolitikk</w:t>
    </w:r>
  </w:p>
  <w:p w14:paraId="3C542E87" w14:textId="77777777" w:rsidR="00F710B4" w:rsidRPr="00622D6F" w:rsidRDefault="009E56F1" w:rsidP="00F710B4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8"/>
        <w:szCs w:val="20"/>
        <w:lang w:eastAsia="nb-NO"/>
      </w:rPr>
    </w:pPr>
    <w:r>
      <w:rPr>
        <w:rFonts w:ascii="Arial" w:hAnsi="Arial" w:cs="Arial"/>
        <w:sz w:val="18"/>
        <w:szCs w:val="20"/>
        <w:lang w:eastAsia="nb-NO"/>
      </w:rPr>
      <w:t>Øvre Slottsgate 3</w:t>
    </w:r>
    <w:r w:rsidR="00F710B4" w:rsidRPr="00622D6F">
      <w:rPr>
        <w:rFonts w:ascii="Arial" w:hAnsi="Arial" w:cs="Arial"/>
        <w:sz w:val="18"/>
        <w:szCs w:val="20"/>
        <w:lang w:eastAsia="nb-NO"/>
      </w:rPr>
      <w:t>, 01</w:t>
    </w:r>
    <w:r w:rsidR="004C15A3">
      <w:rPr>
        <w:rFonts w:ascii="Arial" w:hAnsi="Arial" w:cs="Arial"/>
        <w:sz w:val="18"/>
        <w:szCs w:val="20"/>
        <w:lang w:eastAsia="nb-NO"/>
      </w:rPr>
      <w:t>5</w:t>
    </w:r>
    <w:r>
      <w:rPr>
        <w:rFonts w:ascii="Arial" w:hAnsi="Arial" w:cs="Arial"/>
        <w:sz w:val="18"/>
        <w:szCs w:val="20"/>
        <w:lang w:eastAsia="nb-NO"/>
      </w:rPr>
      <w:t>7</w:t>
    </w:r>
    <w:r w:rsidR="00F710B4" w:rsidRPr="00622D6F">
      <w:rPr>
        <w:rFonts w:ascii="Arial" w:hAnsi="Arial" w:cs="Arial"/>
        <w:sz w:val="18"/>
        <w:szCs w:val="20"/>
        <w:lang w:eastAsia="nb-NO"/>
      </w:rPr>
      <w:t xml:space="preserve"> Oslo / </w:t>
    </w:r>
    <w:hyperlink r:id="rId1" w:history="1">
      <w:r w:rsidR="00F710B4" w:rsidRPr="00622D6F">
        <w:rPr>
          <w:rFonts w:ascii="Arial" w:hAnsi="Arial" w:cs="Arial"/>
          <w:sz w:val="18"/>
          <w:szCs w:val="20"/>
          <w:u w:color="771E20"/>
          <w:lang w:eastAsia="nb-NO"/>
        </w:rPr>
        <w:t>slug@slettgjelda.no</w:t>
      </w:r>
    </w:hyperlink>
    <w:r w:rsidR="00F710B4" w:rsidRPr="00622D6F">
      <w:rPr>
        <w:rFonts w:ascii="Arial" w:hAnsi="Arial" w:cs="Arial"/>
        <w:sz w:val="18"/>
        <w:szCs w:val="20"/>
        <w:lang w:eastAsia="nb-NO"/>
      </w:rPr>
      <w:t xml:space="preserve"> / Org. nr.: 989 155 849</w:t>
    </w:r>
  </w:p>
  <w:p w14:paraId="0489BFF2" w14:textId="77777777" w:rsidR="00F710B4" w:rsidRPr="00DC221C" w:rsidRDefault="00F710B4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 w:cs="Arial"/>
        <w:sz w:val="18"/>
        <w:szCs w:val="20"/>
        <w:lang w:val="en-US" w:eastAsia="nb-NO"/>
      </w:rPr>
      <w:t>www.</w:t>
    </w:r>
    <w:r w:rsidRPr="00DC221C">
      <w:rPr>
        <w:rFonts w:ascii="Arial" w:hAnsi="Arial" w:cs="Arial"/>
        <w:sz w:val="18"/>
        <w:szCs w:val="20"/>
        <w:lang w:val="en-US" w:eastAsia="nb-NO"/>
      </w:rPr>
      <w:t>slettgjelda.no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0B54" w14:textId="77777777" w:rsidR="009E56F1" w:rsidRDefault="009E56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0039" w14:textId="77777777" w:rsidR="00CD7240" w:rsidRDefault="00CD7240" w:rsidP="00F710B4">
      <w:r>
        <w:separator/>
      </w:r>
    </w:p>
  </w:footnote>
  <w:footnote w:type="continuationSeparator" w:id="0">
    <w:p w14:paraId="7310B091" w14:textId="77777777" w:rsidR="00CD7240" w:rsidRDefault="00CD7240" w:rsidP="00F7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DFF0" w14:textId="77777777" w:rsidR="009E56F1" w:rsidRDefault="009E56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7B91" w14:textId="77777777" w:rsidR="00F710B4" w:rsidRDefault="00F1297C" w:rsidP="00F710B4">
    <w:pPr>
      <w:pStyle w:val="Topptekst"/>
      <w:ind w:firstLine="4248"/>
      <w:jc w:val="right"/>
    </w:pPr>
    <w:r w:rsidRPr="0098590F">
      <w:rPr>
        <w:noProof/>
        <w:lang w:eastAsia="nb-NO"/>
      </w:rPr>
      <w:drawing>
        <wp:inline distT="0" distB="0" distL="0" distR="0" wp14:anchorId="165E4958" wp14:editId="3A306466">
          <wp:extent cx="3196590" cy="1009650"/>
          <wp:effectExtent l="0" t="0" r="0" b="0"/>
          <wp:docPr id="1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4E49" w14:textId="77777777" w:rsidR="009E56F1" w:rsidRDefault="009E56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F19"/>
    <w:multiLevelType w:val="hybridMultilevel"/>
    <w:tmpl w:val="6D0E2E4E"/>
    <w:lvl w:ilvl="0" w:tplc="79262D2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C120C"/>
    <w:multiLevelType w:val="hybridMultilevel"/>
    <w:tmpl w:val="F2DC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15053">
    <w:abstractNumId w:val="0"/>
  </w:num>
  <w:num w:numId="2" w16cid:durableId="68151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CE"/>
    <w:rsid w:val="000714C0"/>
    <w:rsid w:val="001320E8"/>
    <w:rsid w:val="001E231C"/>
    <w:rsid w:val="00321F9B"/>
    <w:rsid w:val="00340DF9"/>
    <w:rsid w:val="00352655"/>
    <w:rsid w:val="003D24B7"/>
    <w:rsid w:val="00410D02"/>
    <w:rsid w:val="004C15A3"/>
    <w:rsid w:val="005161CE"/>
    <w:rsid w:val="00567B18"/>
    <w:rsid w:val="00584DB5"/>
    <w:rsid w:val="005F6FEA"/>
    <w:rsid w:val="00622D6F"/>
    <w:rsid w:val="007B3D47"/>
    <w:rsid w:val="007E7FA7"/>
    <w:rsid w:val="0083297C"/>
    <w:rsid w:val="009E56F1"/>
    <w:rsid w:val="00BB717F"/>
    <w:rsid w:val="00C673F9"/>
    <w:rsid w:val="00C72790"/>
    <w:rsid w:val="00CD7240"/>
    <w:rsid w:val="00DC4EE6"/>
    <w:rsid w:val="00E375C2"/>
    <w:rsid w:val="00E82446"/>
    <w:rsid w:val="00F1297C"/>
    <w:rsid w:val="00F71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6624A"/>
  <w15:chartTrackingRefBased/>
  <w15:docId w15:val="{EFF8DFA5-A0AA-2547-8BE7-B7D1E29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55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link w:val="Brdtekst3Tegn"/>
    <w:uiPriority w:val="99"/>
    <w:unhideWhenUsed/>
    <w:rsid w:val="00E375C2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E375C2"/>
    <w:rPr>
      <w:rFonts w:ascii="Cambria" w:eastAsia="Cambria" w:hAnsi="Cambria" w:cs="Times New Roman"/>
      <w:sz w:val="16"/>
      <w:szCs w:val="16"/>
    </w:rPr>
  </w:style>
  <w:style w:type="character" w:styleId="Hyperkobling">
    <w:name w:val="Hyperlink"/>
    <w:uiPriority w:val="99"/>
    <w:semiHidden/>
    <w:unhideWhenUsed/>
    <w:rsid w:val="000804BF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3632C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32C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32C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32C9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632C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2C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632C9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256A7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256A7"/>
  </w:style>
  <w:style w:type="character" w:styleId="Fotnotereferanse">
    <w:name w:val="footnote reference"/>
    <w:uiPriority w:val="99"/>
    <w:semiHidden/>
    <w:unhideWhenUsed/>
    <w:rsid w:val="008256A7"/>
    <w:rPr>
      <w:vertAlign w:val="superscript"/>
    </w:rPr>
  </w:style>
  <w:style w:type="character" w:styleId="Fulgthyperkobling">
    <w:name w:val="FollowedHyperlink"/>
    <w:rsid w:val="007E0BD8"/>
    <w:rPr>
      <w:color w:val="800080"/>
      <w:u w:val="single"/>
    </w:rPr>
  </w:style>
  <w:style w:type="paragraph" w:styleId="Topptekst">
    <w:name w:val="header"/>
    <w:basedOn w:val="Normal"/>
    <w:link w:val="TopptekstTegn"/>
    <w:rsid w:val="001D0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D07F2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rsid w:val="001D07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D07F2"/>
    <w:rPr>
      <w:sz w:val="24"/>
      <w:szCs w:val="24"/>
      <w:lang w:eastAsia="en-US"/>
    </w:rPr>
  </w:style>
  <w:style w:type="character" w:customStyle="1" w:styleId="il">
    <w:name w:val="il"/>
    <w:basedOn w:val="Standardskriftforavsnitt"/>
    <w:rsid w:val="00DC4EE6"/>
  </w:style>
  <w:style w:type="character" w:customStyle="1" w:styleId="apple-converted-space">
    <w:name w:val="apple-converted-space"/>
    <w:basedOn w:val="Standardskriftforavsnitt"/>
    <w:rsid w:val="00DC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lug%40slettgjeld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l/Dropbox/SLUG%20hovedmappe/SLUG%202023/Informasjon/SoMe/Brevmal%20SLU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SLUG.dotx</Template>
  <TotalTime>2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mailto:slug%40slettgjelda.no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Hemsett</dc:creator>
  <cp:keywords/>
  <cp:lastModifiedBy>Maren Hemsett</cp:lastModifiedBy>
  <cp:revision>1</cp:revision>
  <dcterms:created xsi:type="dcterms:W3CDTF">2024-03-05T11:25:00Z</dcterms:created>
  <dcterms:modified xsi:type="dcterms:W3CDTF">2024-03-05T11:27:00Z</dcterms:modified>
</cp:coreProperties>
</file>