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B439" w14:textId="77777777" w:rsidR="00410D02" w:rsidRDefault="00F710B4" w:rsidP="00DC4EE6">
      <w:pPr>
        <w:pStyle w:val="Brdtekst3"/>
        <w:rPr>
          <w:rFonts w:ascii="Arial" w:hAnsi="Arial"/>
          <w:sz w:val="23"/>
          <w:szCs w:val="23"/>
        </w:rPr>
      </w:pPr>
      <w:r w:rsidRPr="00DC4EE6">
        <w:rPr>
          <w:rFonts w:ascii="Arial" w:hAnsi="Arial"/>
          <w:sz w:val="23"/>
          <w:szCs w:val="23"/>
        </w:rPr>
        <w:tab/>
      </w:r>
      <w:r w:rsidRPr="00DC4EE6">
        <w:rPr>
          <w:rFonts w:ascii="Arial" w:hAnsi="Arial"/>
          <w:sz w:val="23"/>
          <w:szCs w:val="23"/>
        </w:rPr>
        <w:tab/>
      </w:r>
      <w:r w:rsidRPr="00DC4EE6">
        <w:rPr>
          <w:rFonts w:ascii="Arial" w:hAnsi="Arial"/>
          <w:sz w:val="23"/>
          <w:szCs w:val="23"/>
        </w:rPr>
        <w:tab/>
      </w:r>
      <w:r w:rsidRPr="00DC4EE6">
        <w:rPr>
          <w:rFonts w:ascii="Arial" w:hAnsi="Arial"/>
          <w:sz w:val="23"/>
          <w:szCs w:val="23"/>
        </w:rPr>
        <w:tab/>
        <w:t xml:space="preserve"> </w:t>
      </w:r>
      <w:r w:rsidRPr="00DC4EE6">
        <w:rPr>
          <w:rFonts w:ascii="Arial" w:hAnsi="Arial"/>
          <w:sz w:val="23"/>
          <w:szCs w:val="23"/>
        </w:rPr>
        <w:tab/>
        <w:t xml:space="preserve">        </w:t>
      </w:r>
    </w:p>
    <w:p w14:paraId="788906AA" w14:textId="77777777" w:rsidR="003B7830" w:rsidRPr="00A5693B" w:rsidRDefault="003B7830" w:rsidP="003B7830">
      <w:pPr>
        <w:rPr>
          <w:rFonts w:ascii="DINPro" w:hAnsi="DINPro"/>
          <w:b/>
          <w:bCs/>
          <w:sz w:val="28"/>
          <w:szCs w:val="28"/>
        </w:rPr>
      </w:pPr>
      <w:r w:rsidRPr="00A5693B">
        <w:rPr>
          <w:rFonts w:ascii="DINPro" w:hAnsi="DINPro"/>
          <w:b/>
          <w:bCs/>
          <w:sz w:val="28"/>
          <w:szCs w:val="28"/>
        </w:rPr>
        <w:t xml:space="preserve">Innspill </w:t>
      </w:r>
      <w:proofErr w:type="spellStart"/>
      <w:r w:rsidRPr="003778B9">
        <w:rPr>
          <w:rFonts w:ascii="DINPro" w:hAnsi="DINPro"/>
          <w:b/>
          <w:bCs/>
          <w:sz w:val="28"/>
          <w:szCs w:val="28"/>
        </w:rPr>
        <w:t>MDGs</w:t>
      </w:r>
      <w:proofErr w:type="spellEnd"/>
      <w:r w:rsidRPr="003778B9">
        <w:rPr>
          <w:rFonts w:ascii="DINPro" w:hAnsi="DINPro"/>
          <w:b/>
          <w:bCs/>
          <w:sz w:val="28"/>
          <w:szCs w:val="28"/>
        </w:rPr>
        <w:t xml:space="preserve"> arbeidsprogram </w:t>
      </w:r>
      <w:r w:rsidRPr="00A5693B">
        <w:rPr>
          <w:rFonts w:ascii="DINPro" w:hAnsi="DINPro"/>
          <w:b/>
          <w:bCs/>
          <w:sz w:val="28"/>
          <w:szCs w:val="28"/>
        </w:rPr>
        <w:t>2025-2029</w:t>
      </w:r>
    </w:p>
    <w:p w14:paraId="3BD18DE3" w14:textId="77777777" w:rsidR="003B7830" w:rsidRDefault="003B7830" w:rsidP="003B7830">
      <w:pPr>
        <w:rPr>
          <w:rFonts w:ascii="DINPro" w:hAnsi="DINPro"/>
        </w:rPr>
      </w:pPr>
    </w:p>
    <w:p w14:paraId="713D071E" w14:textId="77777777" w:rsidR="003B7830" w:rsidRPr="003778B9" w:rsidRDefault="003B7830" w:rsidP="003B7830">
      <w:pPr>
        <w:rPr>
          <w:rFonts w:ascii="DINPro" w:hAnsi="DINPro"/>
          <w:sz w:val="22"/>
          <w:szCs w:val="22"/>
        </w:rPr>
      </w:pPr>
      <w:r>
        <w:rPr>
          <w:rFonts w:ascii="DINPro" w:hAnsi="DINPro"/>
          <w:sz w:val="22"/>
          <w:szCs w:val="22"/>
        </w:rPr>
        <w:t xml:space="preserve">SLUG – Nettverk for rettferdig gjeldspolitikk takker for muligheten til å komme med innspill til </w:t>
      </w:r>
      <w:proofErr w:type="spellStart"/>
      <w:r w:rsidRPr="003778B9">
        <w:rPr>
          <w:rFonts w:ascii="DINPro" w:hAnsi="DINPro"/>
          <w:sz w:val="22"/>
          <w:szCs w:val="22"/>
        </w:rPr>
        <w:t>MDG</w:t>
      </w:r>
      <w:proofErr w:type="spellEnd"/>
      <w:r>
        <w:rPr>
          <w:rFonts w:ascii="DINPro" w:hAnsi="DINPro"/>
          <w:color w:val="FF0000"/>
          <w:sz w:val="22"/>
          <w:szCs w:val="22"/>
        </w:rPr>
        <w:t xml:space="preserve"> </w:t>
      </w:r>
      <w:r>
        <w:rPr>
          <w:rFonts w:ascii="DINPro" w:hAnsi="DINPro"/>
          <w:sz w:val="22"/>
          <w:szCs w:val="22"/>
        </w:rPr>
        <w:t xml:space="preserve">sitt arbeidsprogram 2025 – 2029. Den globale gjeldsbyrden nådde i 2023 nye rekorder. I snitt bruker lavinntektsland tilsvarende summer på gjeldsbetjening som de gjør samlet på utdanning, helse, sosiale sikkerhetsnett og </w:t>
      </w:r>
      <w:r w:rsidRPr="003778B9">
        <w:rPr>
          <w:rFonts w:ascii="DINPro" w:hAnsi="DINPro"/>
          <w:sz w:val="22"/>
          <w:szCs w:val="22"/>
        </w:rPr>
        <w:t xml:space="preserve">klimatilpasning. Dette svekker lands demokrati, selvstendighet og mulighet til å oppfylle befolkningens menneskerettigheter og nødvendige miljøtiltak. </w:t>
      </w:r>
      <w:proofErr w:type="spellStart"/>
      <w:r w:rsidRPr="003778B9">
        <w:rPr>
          <w:rFonts w:ascii="DINPro" w:hAnsi="DINPro"/>
          <w:sz w:val="22"/>
          <w:szCs w:val="22"/>
        </w:rPr>
        <w:t>MDG</w:t>
      </w:r>
      <w:proofErr w:type="spellEnd"/>
      <w:r w:rsidRPr="003778B9">
        <w:rPr>
          <w:rFonts w:ascii="DINPro" w:hAnsi="DINPro"/>
          <w:sz w:val="22"/>
          <w:szCs w:val="22"/>
        </w:rPr>
        <w:t xml:space="preserve"> tar allerede til ordet for en rettferdig gjeldspolitikk, samtidig som vi håper våre innspill kan sikre enda større grad av helhetlige løsninger.   </w:t>
      </w:r>
    </w:p>
    <w:p w14:paraId="4D46F8F1" w14:textId="77777777" w:rsidR="003B7830" w:rsidRPr="003778B9" w:rsidRDefault="003B7830" w:rsidP="003B7830">
      <w:pPr>
        <w:rPr>
          <w:rFonts w:ascii="DINPro" w:hAnsi="DINPro"/>
          <w:sz w:val="22"/>
          <w:szCs w:val="22"/>
        </w:rPr>
      </w:pPr>
    </w:p>
    <w:p w14:paraId="4D2BD375" w14:textId="77777777" w:rsidR="003B7830" w:rsidRPr="007F3475" w:rsidRDefault="003B7830" w:rsidP="003B7830">
      <w:pPr>
        <w:rPr>
          <w:rFonts w:ascii="DINPro" w:hAnsi="DINPro"/>
          <w:b/>
          <w:bCs/>
          <w:sz w:val="22"/>
          <w:szCs w:val="22"/>
        </w:rPr>
      </w:pPr>
      <w:r w:rsidRPr="007F3475">
        <w:rPr>
          <w:rFonts w:ascii="DINPro" w:hAnsi="DINPro"/>
          <w:b/>
          <w:bCs/>
          <w:sz w:val="22"/>
          <w:szCs w:val="22"/>
        </w:rPr>
        <w:t>Klimapolitikk i tråd med Parisavtalen</w:t>
      </w:r>
    </w:p>
    <w:p w14:paraId="255BFCD5" w14:textId="77777777" w:rsidR="003B7830" w:rsidRDefault="003B7830" w:rsidP="003B7830">
      <w:pPr>
        <w:rPr>
          <w:rFonts w:ascii="DINPro" w:hAnsi="DINPro"/>
          <w:sz w:val="22"/>
          <w:szCs w:val="22"/>
          <w:u w:val="single"/>
        </w:rPr>
      </w:pPr>
      <w:r w:rsidRPr="007F3475">
        <w:rPr>
          <w:rFonts w:ascii="DINPro" w:hAnsi="DINPro"/>
          <w:sz w:val="22"/>
          <w:szCs w:val="22"/>
          <w:u w:val="single"/>
        </w:rPr>
        <w:t>Endre i punkt 20:</w:t>
      </w:r>
      <w:r w:rsidRPr="007F3475">
        <w:rPr>
          <w:rFonts w:ascii="DINPro" w:hAnsi="DINPro"/>
          <w:sz w:val="22"/>
          <w:szCs w:val="22"/>
        </w:rPr>
        <w:t xml:space="preserve"> Støtte og bidra til tilstrekkelig finansiering av den internasjonale klimadugnaden, blant annet gjennom overføring av teknologi og kompetanse til utviklingsland </w:t>
      </w:r>
      <w:r w:rsidRPr="007F3475">
        <w:rPr>
          <w:rFonts w:ascii="DINPro" w:hAnsi="DINPro"/>
          <w:strike/>
          <w:sz w:val="22"/>
          <w:szCs w:val="22"/>
        </w:rPr>
        <w:t>og midler til FNs grønne klimafond</w:t>
      </w:r>
      <w:r w:rsidRPr="007F3475">
        <w:rPr>
          <w:rFonts w:ascii="DINPro" w:hAnsi="DINPro"/>
          <w:sz w:val="22"/>
          <w:szCs w:val="22"/>
        </w:rPr>
        <w:t>.</w:t>
      </w:r>
      <w:r>
        <w:rPr>
          <w:rFonts w:ascii="DINPro" w:hAnsi="DINPro"/>
          <w:sz w:val="22"/>
          <w:szCs w:val="22"/>
        </w:rPr>
        <w:t xml:space="preserve"> </w:t>
      </w:r>
      <w:r>
        <w:rPr>
          <w:rFonts w:ascii="DINPro" w:hAnsi="DINPro"/>
          <w:sz w:val="22"/>
          <w:szCs w:val="22"/>
          <w:u w:val="single"/>
        </w:rPr>
        <w:t>Midlene skal komme i tillegg til tradisjonell bistand, og ikke forverre lands allerede høye gjeldsbyrde.</w:t>
      </w:r>
    </w:p>
    <w:p w14:paraId="54FF3C3D" w14:textId="77777777" w:rsidR="003B7830" w:rsidRPr="007F3475" w:rsidRDefault="003B7830" w:rsidP="003B7830">
      <w:pPr>
        <w:rPr>
          <w:rFonts w:ascii="DINPro" w:hAnsi="DINPro"/>
          <w:sz w:val="22"/>
          <w:szCs w:val="22"/>
        </w:rPr>
      </w:pPr>
      <w:r>
        <w:rPr>
          <w:rFonts w:ascii="DINPro" w:hAnsi="DINPro"/>
          <w:sz w:val="22"/>
          <w:szCs w:val="22"/>
          <w:u w:val="single"/>
        </w:rPr>
        <w:t xml:space="preserve">Begrunnelse: </w:t>
      </w:r>
      <w:r w:rsidRPr="007F3475">
        <w:rPr>
          <w:rFonts w:ascii="DINPro" w:hAnsi="DINPro"/>
          <w:sz w:val="22"/>
          <w:szCs w:val="22"/>
        </w:rPr>
        <w:t>Stadig økende andel av Norges, og verdens,</w:t>
      </w:r>
      <w:r>
        <w:rPr>
          <w:rFonts w:ascii="DINPro" w:hAnsi="DINPro"/>
          <w:sz w:val="22"/>
          <w:szCs w:val="22"/>
        </w:rPr>
        <w:t xml:space="preserve"> klimafinansiering tas fra bistandsbudsjettene, hvilket setter fattigdomsreduksjon, demokratiutvikling og miljøtiltak opp mot hverandre, i tillegg til at over 70% av klimafinansiering gis som lån som forverre lands gjeldskrise og blant annet bidrar til at flere land er avhengig av produksjon av fossil energi for å betale lånene sine.  Angående FNs klimafond har dette vist seg å inneha flere utfordringer </w:t>
      </w:r>
      <w:proofErr w:type="spellStart"/>
      <w:r>
        <w:rPr>
          <w:rFonts w:ascii="DINPro" w:hAnsi="DINPro"/>
          <w:sz w:val="22"/>
          <w:szCs w:val="22"/>
        </w:rPr>
        <w:t>mtp</w:t>
      </w:r>
      <w:proofErr w:type="spellEnd"/>
      <w:r>
        <w:rPr>
          <w:rFonts w:ascii="DINPro" w:hAnsi="DINPro"/>
          <w:sz w:val="22"/>
          <w:szCs w:val="22"/>
        </w:rPr>
        <w:t xml:space="preserve"> tilgang og menneskerettigheter, derfor foreslås det å kutte dette som </w:t>
      </w:r>
      <w:proofErr w:type="gramStart"/>
      <w:r>
        <w:rPr>
          <w:rFonts w:ascii="DINPro" w:hAnsi="DINPro"/>
          <w:sz w:val="22"/>
          <w:szCs w:val="22"/>
        </w:rPr>
        <w:t>et eksplitt</w:t>
      </w:r>
      <w:proofErr w:type="gramEnd"/>
      <w:r>
        <w:rPr>
          <w:rFonts w:ascii="DINPro" w:hAnsi="DINPro"/>
          <w:sz w:val="22"/>
          <w:szCs w:val="22"/>
        </w:rPr>
        <w:t xml:space="preserve"> eksempel. </w:t>
      </w:r>
    </w:p>
    <w:p w14:paraId="5EB6C73A" w14:textId="77777777" w:rsidR="003B7830" w:rsidRDefault="003B7830" w:rsidP="003B7830">
      <w:pPr>
        <w:rPr>
          <w:rFonts w:ascii="DINPro" w:hAnsi="DINPro"/>
          <w:sz w:val="22"/>
          <w:szCs w:val="22"/>
          <w:u w:val="single"/>
        </w:rPr>
      </w:pPr>
    </w:p>
    <w:p w14:paraId="2505D875" w14:textId="77777777" w:rsidR="003B7830" w:rsidRDefault="003B7830" w:rsidP="003B7830">
      <w:pPr>
        <w:rPr>
          <w:rFonts w:ascii="DINPro" w:hAnsi="DINPro"/>
          <w:b/>
          <w:bCs/>
          <w:sz w:val="22"/>
          <w:szCs w:val="22"/>
        </w:rPr>
      </w:pPr>
      <w:r>
        <w:rPr>
          <w:rFonts w:ascii="DINPro" w:hAnsi="DINPro"/>
          <w:b/>
          <w:bCs/>
          <w:sz w:val="22"/>
          <w:szCs w:val="22"/>
        </w:rPr>
        <w:t>Oljefondet</w:t>
      </w:r>
    </w:p>
    <w:p w14:paraId="6C4DD8EB" w14:textId="77777777" w:rsidR="003B7830" w:rsidRDefault="003B7830" w:rsidP="003B7830">
      <w:pPr>
        <w:shd w:val="clear" w:color="auto" w:fill="FFFFFF"/>
        <w:rPr>
          <w:rFonts w:ascii="DINPro" w:eastAsia="Times New Roman" w:hAnsi="DINPro"/>
          <w:color w:val="000000" w:themeColor="text1"/>
          <w:sz w:val="22"/>
          <w:szCs w:val="22"/>
          <w:lang w:eastAsia="nb-NO"/>
        </w:rPr>
      </w:pPr>
      <w:r>
        <w:rPr>
          <w:rFonts w:ascii="DINPro" w:hAnsi="DINPro"/>
          <w:sz w:val="22"/>
          <w:szCs w:val="22"/>
          <w:u w:val="single"/>
        </w:rPr>
        <w:t xml:space="preserve">Nytt </w:t>
      </w:r>
      <w:r w:rsidRPr="007F3475">
        <w:rPr>
          <w:rFonts w:ascii="DINPro" w:hAnsi="DINPro"/>
          <w:sz w:val="22"/>
          <w:szCs w:val="22"/>
          <w:u w:val="single"/>
        </w:rPr>
        <w:t xml:space="preserve">punkt; </w:t>
      </w:r>
      <w:r w:rsidRPr="003778B9">
        <w:rPr>
          <w:rFonts w:ascii="DINPro" w:eastAsia="Times New Roman" w:hAnsi="DINPro"/>
          <w:color w:val="000000" w:themeColor="text1"/>
          <w:sz w:val="22"/>
          <w:szCs w:val="22"/>
          <w:u w:val="single"/>
          <w:lang w:eastAsia="nb-NO"/>
        </w:rPr>
        <w:t>at Norge skal være en ansvarlig långiver gjennom Oljefondets investeringer i statsobligasjoner.</w:t>
      </w:r>
    </w:p>
    <w:p w14:paraId="0187961A" w14:textId="77777777" w:rsidR="003B7830" w:rsidRDefault="003B7830" w:rsidP="003B7830">
      <w:pPr>
        <w:shd w:val="clear" w:color="auto" w:fill="FFFFFF"/>
        <w:rPr>
          <w:rFonts w:ascii="DINPro" w:eastAsia="Times New Roman" w:hAnsi="DINPro"/>
          <w:color w:val="000000" w:themeColor="text1"/>
          <w:sz w:val="22"/>
          <w:szCs w:val="22"/>
          <w:lang w:eastAsia="nb-NO"/>
        </w:rPr>
      </w:pPr>
      <w:r w:rsidRPr="00703800">
        <w:rPr>
          <w:rFonts w:ascii="DINPro" w:eastAsia="Times New Roman" w:hAnsi="DINPro"/>
          <w:color w:val="000000" w:themeColor="text1"/>
          <w:sz w:val="22"/>
          <w:szCs w:val="22"/>
          <w:u w:val="single"/>
          <w:lang w:eastAsia="nb-NO"/>
        </w:rPr>
        <w:t>Begrunnelse:</w:t>
      </w:r>
      <w:r>
        <w:rPr>
          <w:rFonts w:ascii="DINPro" w:eastAsia="Times New Roman" w:hAnsi="DINPro"/>
          <w:color w:val="000000" w:themeColor="text1"/>
          <w:sz w:val="22"/>
          <w:szCs w:val="22"/>
          <w:lang w:eastAsia="nb-NO"/>
        </w:rPr>
        <w:t xml:space="preserve"> Oljefondets etiske retningslinjer gjelder ikke for investeringer i statsobligasjoner selv om disse utgjør omtrent en femtedel av investeringene. Norge må være en ansvarlig utlåner også her for å unngå å bidra til ytterligere gjeldskriser eller at lånene går til ikke-bærekraftige tiltak. </w:t>
      </w:r>
    </w:p>
    <w:p w14:paraId="4996181F" w14:textId="77777777" w:rsidR="003B7830" w:rsidRDefault="003B7830" w:rsidP="003B7830">
      <w:pPr>
        <w:shd w:val="clear" w:color="auto" w:fill="FFFFFF"/>
        <w:rPr>
          <w:rFonts w:ascii="DINPro" w:eastAsia="Times New Roman" w:hAnsi="DINPro"/>
          <w:color w:val="000000" w:themeColor="text1"/>
          <w:sz w:val="22"/>
          <w:szCs w:val="22"/>
          <w:lang w:eastAsia="nb-NO"/>
        </w:rPr>
      </w:pPr>
    </w:p>
    <w:p w14:paraId="1E282B57" w14:textId="77777777" w:rsidR="003B7830" w:rsidRDefault="003B7830" w:rsidP="003B7830">
      <w:pPr>
        <w:shd w:val="clear" w:color="auto" w:fill="FFFFFF"/>
        <w:rPr>
          <w:rFonts w:ascii="DINPro" w:eastAsia="Times New Roman" w:hAnsi="DINPro"/>
          <w:b/>
          <w:bCs/>
          <w:color w:val="000000" w:themeColor="text1"/>
          <w:sz w:val="22"/>
          <w:szCs w:val="22"/>
          <w:lang w:eastAsia="nb-NO"/>
        </w:rPr>
      </w:pPr>
      <w:r>
        <w:rPr>
          <w:rFonts w:ascii="DINPro" w:eastAsia="Times New Roman" w:hAnsi="DINPro"/>
          <w:b/>
          <w:bCs/>
          <w:color w:val="000000" w:themeColor="text1"/>
          <w:sz w:val="22"/>
          <w:szCs w:val="22"/>
          <w:lang w:eastAsia="nb-NO"/>
        </w:rPr>
        <w:t>Global utvikling og humanitære bistand</w:t>
      </w:r>
    </w:p>
    <w:p w14:paraId="061371E4" w14:textId="77777777" w:rsidR="003B7830" w:rsidRDefault="003B7830" w:rsidP="003B7830">
      <w:pPr>
        <w:rPr>
          <w:rFonts w:ascii="DINPro" w:hAnsi="DINPro"/>
          <w:sz w:val="22"/>
          <w:szCs w:val="22"/>
        </w:rPr>
      </w:pPr>
      <w:r>
        <w:rPr>
          <w:rFonts w:ascii="DINPro" w:hAnsi="DINPro"/>
          <w:sz w:val="22"/>
          <w:szCs w:val="22"/>
          <w:u w:val="single"/>
        </w:rPr>
        <w:t xml:space="preserve">Dele punkt </w:t>
      </w:r>
      <w:proofErr w:type="spellStart"/>
      <w:r>
        <w:rPr>
          <w:rFonts w:ascii="DINPro" w:hAnsi="DINPro"/>
          <w:sz w:val="22"/>
          <w:szCs w:val="22"/>
          <w:u w:val="single"/>
        </w:rPr>
        <w:t>punkt</w:t>
      </w:r>
      <w:proofErr w:type="spellEnd"/>
      <w:r>
        <w:rPr>
          <w:rFonts w:ascii="DINPro" w:hAnsi="DINPro"/>
          <w:sz w:val="22"/>
          <w:szCs w:val="22"/>
          <w:u w:val="single"/>
        </w:rPr>
        <w:t xml:space="preserve"> 19 i to og legge til: Støtte sletting av all illegitim gjel og </w:t>
      </w:r>
      <w:r w:rsidRPr="007F3475">
        <w:rPr>
          <w:rFonts w:ascii="DINPro" w:hAnsi="DINPro"/>
          <w:sz w:val="22"/>
          <w:szCs w:val="22"/>
        </w:rPr>
        <w:t xml:space="preserve">arbeide for en rettferdig </w:t>
      </w:r>
      <w:r>
        <w:rPr>
          <w:rFonts w:ascii="DINPro" w:hAnsi="DINPro"/>
          <w:sz w:val="22"/>
          <w:szCs w:val="22"/>
          <w:u w:val="single"/>
        </w:rPr>
        <w:t xml:space="preserve">og åpen </w:t>
      </w:r>
      <w:r w:rsidRPr="007F3475">
        <w:rPr>
          <w:rFonts w:ascii="DINPro" w:hAnsi="DINPro"/>
          <w:sz w:val="22"/>
          <w:szCs w:val="22"/>
        </w:rPr>
        <w:t>gjeldshåndteringsmekanisme under F</w:t>
      </w:r>
      <w:r>
        <w:rPr>
          <w:rFonts w:ascii="DINPro" w:hAnsi="DINPro"/>
          <w:sz w:val="22"/>
          <w:szCs w:val="22"/>
        </w:rPr>
        <w:t xml:space="preserve">N. </w:t>
      </w:r>
    </w:p>
    <w:p w14:paraId="3304DDAB" w14:textId="77777777" w:rsidR="003B7830" w:rsidRPr="00952544" w:rsidRDefault="003B7830" w:rsidP="003B7830">
      <w:pPr>
        <w:rPr>
          <w:rFonts w:ascii="DINPro" w:hAnsi="DINPro"/>
          <w:color w:val="000000" w:themeColor="text1"/>
          <w:sz w:val="22"/>
          <w:szCs w:val="22"/>
          <w:u w:val="single"/>
        </w:rPr>
      </w:pPr>
      <w:r>
        <w:rPr>
          <w:rFonts w:ascii="DINPro" w:hAnsi="DINPro"/>
          <w:sz w:val="22"/>
          <w:szCs w:val="22"/>
        </w:rPr>
        <w:t xml:space="preserve">nytt punkt: Arbeide </w:t>
      </w:r>
      <w:r w:rsidRPr="007F3475">
        <w:rPr>
          <w:rFonts w:ascii="DINPro" w:hAnsi="DINPro"/>
          <w:sz w:val="22"/>
          <w:szCs w:val="22"/>
        </w:rPr>
        <w:t>for et bindende internasjonalt regelverk for ansvarlig långivning</w:t>
      </w:r>
      <w:r>
        <w:rPr>
          <w:rFonts w:ascii="DINPro" w:hAnsi="DINPro"/>
          <w:sz w:val="22"/>
          <w:szCs w:val="22"/>
        </w:rPr>
        <w:t xml:space="preserve"> </w:t>
      </w:r>
      <w:r>
        <w:rPr>
          <w:rFonts w:ascii="DINPro" w:hAnsi="DINPro"/>
          <w:sz w:val="22"/>
          <w:szCs w:val="22"/>
          <w:u w:val="single"/>
        </w:rPr>
        <w:t>og låntaking</w:t>
      </w:r>
      <w:r>
        <w:rPr>
          <w:rFonts w:ascii="DINPro" w:hAnsi="DINPro"/>
          <w:sz w:val="22"/>
          <w:szCs w:val="22"/>
        </w:rPr>
        <w:t xml:space="preserve"> </w:t>
      </w:r>
      <w:r w:rsidRPr="00952544">
        <w:rPr>
          <w:rFonts w:ascii="DINPro" w:hAnsi="DINPro"/>
          <w:color w:val="000000" w:themeColor="text1"/>
          <w:sz w:val="22"/>
          <w:szCs w:val="22"/>
          <w:u w:val="single"/>
        </w:rPr>
        <w:t>som inkluderer alle former for statlig gjeld, inkludert private långivere. Prinsippene kan tas i bruk ved å inkludere uansvarlig långivning og låneopptak i FNs konvensjon mot korrupsjon (</w:t>
      </w:r>
      <w:proofErr w:type="spellStart"/>
      <w:r w:rsidRPr="00952544">
        <w:rPr>
          <w:rFonts w:ascii="DINPro" w:hAnsi="DINPro"/>
          <w:color w:val="000000" w:themeColor="text1"/>
          <w:sz w:val="22"/>
          <w:szCs w:val="22"/>
          <w:u w:val="single"/>
        </w:rPr>
        <w:t>UNCAC</w:t>
      </w:r>
      <w:proofErr w:type="spellEnd"/>
      <w:r w:rsidRPr="00952544">
        <w:rPr>
          <w:rFonts w:ascii="DINPro" w:hAnsi="DINPro"/>
          <w:color w:val="000000" w:themeColor="text1"/>
          <w:sz w:val="22"/>
          <w:szCs w:val="22"/>
          <w:u w:val="single"/>
        </w:rPr>
        <w:t xml:space="preserve">). </w:t>
      </w:r>
    </w:p>
    <w:p w14:paraId="5CB8B88B" w14:textId="77777777" w:rsidR="003B7830" w:rsidRDefault="003B7830" w:rsidP="003B7830">
      <w:pPr>
        <w:rPr>
          <w:rFonts w:ascii="DINPro" w:hAnsi="DINPro"/>
          <w:sz w:val="22"/>
          <w:szCs w:val="22"/>
        </w:rPr>
      </w:pPr>
      <w:r w:rsidRPr="00A22B2A">
        <w:rPr>
          <w:rFonts w:ascii="DINPro" w:hAnsi="DINPro"/>
          <w:sz w:val="22"/>
          <w:szCs w:val="22"/>
          <w:u w:val="single"/>
        </w:rPr>
        <w:t>Begrunnelse:</w:t>
      </w:r>
      <w:r>
        <w:rPr>
          <w:rFonts w:ascii="DINPro" w:hAnsi="DINPro"/>
          <w:sz w:val="22"/>
          <w:szCs w:val="22"/>
        </w:rPr>
        <w:t xml:space="preserve"> en stor utfordring i dag er at det ikke finnes omforente prinsipp om hva ansvarlig långivning og låneopptak innebærer. Dette må på plass, samt kunne tas i bruk, for å i realiteten sikre ansvarlig långivning. </w:t>
      </w:r>
    </w:p>
    <w:p w14:paraId="358C9B04" w14:textId="77777777" w:rsidR="003B7830" w:rsidRDefault="003B7830" w:rsidP="003B7830">
      <w:pPr>
        <w:rPr>
          <w:rFonts w:ascii="DINPro" w:hAnsi="DINPro"/>
          <w:sz w:val="22"/>
          <w:szCs w:val="22"/>
        </w:rPr>
      </w:pPr>
    </w:p>
    <w:p w14:paraId="6E23BF38" w14:textId="77777777" w:rsidR="003B7830" w:rsidRDefault="003B7830" w:rsidP="003B7830">
      <w:pPr>
        <w:rPr>
          <w:rFonts w:ascii="DINPro" w:hAnsi="DINPro"/>
          <w:sz w:val="22"/>
          <w:szCs w:val="22"/>
          <w:u w:val="single"/>
        </w:rPr>
      </w:pPr>
      <w:r w:rsidRPr="007F3475">
        <w:rPr>
          <w:rFonts w:ascii="DINPro" w:hAnsi="DINPro"/>
          <w:sz w:val="22"/>
          <w:szCs w:val="22"/>
          <w:u w:val="single"/>
        </w:rPr>
        <w:t xml:space="preserve">Nytt </w:t>
      </w:r>
      <w:r>
        <w:rPr>
          <w:rFonts w:ascii="DINPro" w:hAnsi="DINPro"/>
          <w:sz w:val="22"/>
          <w:szCs w:val="22"/>
          <w:u w:val="single"/>
        </w:rPr>
        <w:t xml:space="preserve">punkt: Samt stille strengere krav til at det gjennomføres realistiske gjeldsbærekraftsanalyser som ivaretar disse hensynene i forkant av alle utlån fra både </w:t>
      </w:r>
      <w:r>
        <w:rPr>
          <w:rFonts w:ascii="DINPro" w:hAnsi="DINPro"/>
          <w:sz w:val="22"/>
          <w:szCs w:val="22"/>
          <w:u w:val="single"/>
        </w:rPr>
        <w:lastRenderedPageBreak/>
        <w:t xml:space="preserve">stater og internasjonale finansinstitusjoner som Verdensbanken og Det internasjonale Pengefondet. </w:t>
      </w:r>
    </w:p>
    <w:p w14:paraId="6C6BAE38" w14:textId="77777777" w:rsidR="003B7830" w:rsidRDefault="003B7830" w:rsidP="003B7830">
      <w:pPr>
        <w:rPr>
          <w:rFonts w:ascii="DINPro" w:hAnsi="DINPro"/>
          <w:sz w:val="22"/>
          <w:szCs w:val="22"/>
        </w:rPr>
      </w:pPr>
      <w:r>
        <w:rPr>
          <w:rFonts w:ascii="DINPro" w:hAnsi="DINPro"/>
          <w:sz w:val="22"/>
          <w:szCs w:val="22"/>
          <w:u w:val="single"/>
        </w:rPr>
        <w:t xml:space="preserve">Begrunnelse: </w:t>
      </w:r>
      <w:r>
        <w:rPr>
          <w:rFonts w:ascii="DINPro" w:hAnsi="DINPro"/>
          <w:sz w:val="22"/>
          <w:szCs w:val="22"/>
        </w:rPr>
        <w:t xml:space="preserve">Dagens gjeldsbærekraftsanalyser er svake, tar ikke høyde for å sikre befolkningens grunnleggende rettigheter eller økonomiske forhold som inflasjon sjokk. I tillegg til å gjennomgå dagens praksis, bør det stilles krav til alle framtidige utlån.  </w:t>
      </w:r>
    </w:p>
    <w:p w14:paraId="7A078351" w14:textId="77777777" w:rsidR="003B7830" w:rsidRDefault="003B7830" w:rsidP="003B7830">
      <w:pPr>
        <w:rPr>
          <w:rFonts w:ascii="DINPro" w:hAnsi="DINPro"/>
          <w:sz w:val="22"/>
          <w:szCs w:val="22"/>
        </w:rPr>
      </w:pPr>
    </w:p>
    <w:p w14:paraId="0D45A6B3" w14:textId="77777777" w:rsidR="003B7830" w:rsidRDefault="003B7830" w:rsidP="003B7830">
      <w:pPr>
        <w:rPr>
          <w:rFonts w:ascii="DINPro" w:hAnsi="DINPro"/>
          <w:sz w:val="22"/>
          <w:szCs w:val="22"/>
          <w:u w:val="single"/>
        </w:rPr>
      </w:pPr>
      <w:r>
        <w:rPr>
          <w:rFonts w:ascii="DINPro" w:hAnsi="DINPro"/>
          <w:sz w:val="22"/>
          <w:szCs w:val="22"/>
          <w:u w:val="single"/>
        </w:rPr>
        <w:t xml:space="preserve">Nytt punkt: Arbeide mot urettferdige </w:t>
      </w:r>
      <w:proofErr w:type="spellStart"/>
      <w:r>
        <w:rPr>
          <w:rFonts w:ascii="DINPro" w:hAnsi="DINPro"/>
          <w:sz w:val="22"/>
          <w:szCs w:val="22"/>
          <w:u w:val="single"/>
        </w:rPr>
        <w:t>debt</w:t>
      </w:r>
      <w:proofErr w:type="spellEnd"/>
      <w:r>
        <w:rPr>
          <w:rFonts w:ascii="DINPro" w:hAnsi="DINPro"/>
          <w:sz w:val="22"/>
          <w:szCs w:val="22"/>
          <w:u w:val="single"/>
        </w:rPr>
        <w:t xml:space="preserve"> </w:t>
      </w:r>
      <w:proofErr w:type="spellStart"/>
      <w:r>
        <w:rPr>
          <w:rFonts w:ascii="DINPro" w:hAnsi="DINPro"/>
          <w:sz w:val="22"/>
          <w:szCs w:val="22"/>
          <w:u w:val="single"/>
        </w:rPr>
        <w:t>swaps</w:t>
      </w:r>
      <w:proofErr w:type="spellEnd"/>
      <w:r>
        <w:rPr>
          <w:rFonts w:ascii="DINPro" w:hAnsi="DINPro"/>
          <w:sz w:val="22"/>
          <w:szCs w:val="22"/>
          <w:u w:val="single"/>
        </w:rPr>
        <w:t xml:space="preserve"> hvor sletting av gjeld enten brukes til å pålegge gjeldstyngede land udemokratiske avtaler eller hindrer reell finansiering </w:t>
      </w:r>
    </w:p>
    <w:p w14:paraId="4418E6A3" w14:textId="77777777" w:rsidR="003B7830" w:rsidRPr="005A5110" w:rsidRDefault="003B7830" w:rsidP="003B7830">
      <w:pPr>
        <w:rPr>
          <w:rFonts w:ascii="DINPro" w:hAnsi="DINPro"/>
          <w:sz w:val="22"/>
          <w:szCs w:val="22"/>
        </w:rPr>
      </w:pPr>
      <w:r>
        <w:rPr>
          <w:rFonts w:ascii="DINPro" w:hAnsi="DINPro"/>
          <w:sz w:val="22"/>
          <w:szCs w:val="22"/>
          <w:u w:val="single"/>
        </w:rPr>
        <w:t xml:space="preserve">Begrunnelse: </w:t>
      </w:r>
      <w:r>
        <w:rPr>
          <w:rFonts w:ascii="DINPro" w:hAnsi="DINPro"/>
          <w:sz w:val="22"/>
          <w:szCs w:val="22"/>
        </w:rPr>
        <w:t xml:space="preserve">Debt </w:t>
      </w:r>
      <w:proofErr w:type="spellStart"/>
      <w:r>
        <w:rPr>
          <w:rFonts w:ascii="DINPro" w:hAnsi="DINPro"/>
          <w:sz w:val="22"/>
          <w:szCs w:val="22"/>
        </w:rPr>
        <w:t>swaps</w:t>
      </w:r>
      <w:proofErr w:type="spellEnd"/>
      <w:r>
        <w:rPr>
          <w:rFonts w:ascii="DINPro" w:hAnsi="DINPro"/>
          <w:sz w:val="22"/>
          <w:szCs w:val="22"/>
        </w:rPr>
        <w:t xml:space="preserve"> fremmes i økende grad som et finansieringstiltak både for klima og natur, men også for andre formål (som </w:t>
      </w:r>
      <w:hyperlink r:id="rId7" w:history="1">
        <w:r w:rsidRPr="005A5110">
          <w:rPr>
            <w:rStyle w:val="Hyperkobling"/>
            <w:rFonts w:ascii="DINPro" w:hAnsi="DINPro"/>
            <w:sz w:val="22"/>
            <w:szCs w:val="22"/>
          </w:rPr>
          <w:t xml:space="preserve">Israels forslag om </w:t>
        </w:r>
        <w:proofErr w:type="spellStart"/>
        <w:r w:rsidRPr="005A5110">
          <w:rPr>
            <w:rStyle w:val="Hyperkobling"/>
            <w:rFonts w:ascii="DINPro" w:hAnsi="DINPro"/>
            <w:sz w:val="22"/>
            <w:szCs w:val="22"/>
          </w:rPr>
          <w:t>debt</w:t>
        </w:r>
        <w:proofErr w:type="spellEnd"/>
        <w:r w:rsidRPr="005A5110">
          <w:rPr>
            <w:rStyle w:val="Hyperkobling"/>
            <w:rFonts w:ascii="DINPro" w:hAnsi="DINPro"/>
            <w:sz w:val="22"/>
            <w:szCs w:val="22"/>
          </w:rPr>
          <w:t xml:space="preserve"> </w:t>
        </w:r>
        <w:proofErr w:type="spellStart"/>
        <w:r w:rsidRPr="005A5110">
          <w:rPr>
            <w:rStyle w:val="Hyperkobling"/>
            <w:rFonts w:ascii="DINPro" w:hAnsi="DINPro"/>
            <w:sz w:val="22"/>
            <w:szCs w:val="22"/>
          </w:rPr>
          <w:t>swaps</w:t>
        </w:r>
        <w:proofErr w:type="spellEnd"/>
        <w:r w:rsidRPr="005A5110">
          <w:rPr>
            <w:rStyle w:val="Hyperkobling"/>
            <w:rFonts w:ascii="DINPro" w:hAnsi="DINPro"/>
            <w:sz w:val="22"/>
            <w:szCs w:val="22"/>
          </w:rPr>
          <w:t xml:space="preserve"> til Egypt mot å forflytte Palestinere</w:t>
        </w:r>
      </w:hyperlink>
      <w:r>
        <w:rPr>
          <w:rFonts w:ascii="DINPro" w:hAnsi="DINPro"/>
          <w:sz w:val="22"/>
          <w:szCs w:val="22"/>
        </w:rPr>
        <w:t xml:space="preserve">). </w:t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" w:tgtFrame="_blank" w:history="1">
        <w:r w:rsidRPr="005A5110">
          <w:rPr>
            <w:rStyle w:val="Hyperkobling"/>
            <w:rFonts w:ascii="DINPro" w:hAnsi="DINPro" w:cs="Arial"/>
            <w:color w:val="1155CC"/>
            <w:sz w:val="22"/>
            <w:szCs w:val="22"/>
            <w:shd w:val="clear" w:color="auto" w:fill="FFFFFF"/>
          </w:rPr>
          <w:t xml:space="preserve">En gjennomgang av </w:t>
        </w:r>
        <w:proofErr w:type="spellStart"/>
        <w:r w:rsidRPr="005A5110">
          <w:rPr>
            <w:rStyle w:val="Hyperkobling"/>
            <w:rFonts w:ascii="DINPro" w:hAnsi="DINPro" w:cs="Arial"/>
            <w:color w:val="1155CC"/>
            <w:sz w:val="22"/>
            <w:szCs w:val="22"/>
            <w:shd w:val="clear" w:color="auto" w:fill="FFFFFF"/>
          </w:rPr>
          <w:t>debt</w:t>
        </w:r>
        <w:proofErr w:type="spellEnd"/>
        <w:r w:rsidRPr="005A5110">
          <w:rPr>
            <w:rStyle w:val="Hyperkobling"/>
            <w:rFonts w:ascii="DINPro" w:hAnsi="DINPro" w:cs="Arial"/>
            <w:color w:val="1155CC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5A5110">
          <w:rPr>
            <w:rStyle w:val="Hyperkobling"/>
            <w:rFonts w:ascii="DINPro" w:hAnsi="DINPro" w:cs="Arial"/>
            <w:color w:val="1155CC"/>
            <w:sz w:val="22"/>
            <w:szCs w:val="22"/>
            <w:shd w:val="clear" w:color="auto" w:fill="FFFFFF"/>
          </w:rPr>
          <w:t>swaps</w:t>
        </w:r>
        <w:proofErr w:type="spellEnd"/>
        <w:r w:rsidRPr="005A5110">
          <w:rPr>
            <w:rStyle w:val="Hyperkobling"/>
            <w:rFonts w:ascii="DINPro" w:hAnsi="DINPro" w:cs="Arial"/>
            <w:color w:val="1155CC"/>
            <w:sz w:val="22"/>
            <w:szCs w:val="22"/>
            <w:shd w:val="clear" w:color="auto" w:fill="FFFFFF"/>
          </w:rPr>
          <w:t xml:space="preserve"> de siste 30 årene</w:t>
        </w:r>
      </w:hyperlink>
      <w:r w:rsidRPr="005A5110">
        <w:rPr>
          <w:rFonts w:ascii="DINPro" w:hAnsi="DINPro" w:cs="Arial"/>
          <w:color w:val="000000"/>
          <w:sz w:val="22"/>
          <w:szCs w:val="22"/>
          <w:shd w:val="clear" w:color="auto" w:fill="FFFFFF"/>
        </w:rPr>
        <w:t xml:space="preserve"> viser at </w:t>
      </w:r>
      <w:proofErr w:type="spellStart"/>
      <w:r w:rsidRPr="005A5110">
        <w:rPr>
          <w:rFonts w:ascii="DINPro" w:hAnsi="DINPro" w:cs="Arial"/>
          <w:color w:val="000000"/>
          <w:sz w:val="22"/>
          <w:szCs w:val="22"/>
          <w:shd w:val="clear" w:color="auto" w:fill="FFFFFF"/>
        </w:rPr>
        <w:t>debt</w:t>
      </w:r>
      <w:proofErr w:type="spellEnd"/>
      <w:r w:rsidRPr="005A5110">
        <w:rPr>
          <w:rFonts w:ascii="DINPro" w:hAnsi="DINPro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A5110">
        <w:rPr>
          <w:rFonts w:ascii="DINPro" w:hAnsi="DINPro" w:cs="Arial"/>
          <w:color w:val="000000"/>
          <w:sz w:val="22"/>
          <w:szCs w:val="22"/>
          <w:shd w:val="clear" w:color="auto" w:fill="FFFFFF"/>
        </w:rPr>
        <w:t>swaps</w:t>
      </w:r>
      <w:proofErr w:type="spellEnd"/>
      <w:r w:rsidRPr="005A5110">
        <w:rPr>
          <w:rFonts w:ascii="DINPro" w:hAnsi="DINPro" w:cs="Arial"/>
          <w:color w:val="000000"/>
          <w:sz w:val="22"/>
          <w:szCs w:val="22"/>
          <w:shd w:val="clear" w:color="auto" w:fill="FFFFFF"/>
        </w:rPr>
        <w:t xml:space="preserve"> ikke har bidratt til nevneverdig gjeldslette eller skapt økonomisk handlingsrom for land i Sør til å håndtere miljøutfordringer. Derimot har de vist seg å være trege, liten grad av åpenhet eller involvering av lokale aktører og sivilsamfunn, men med høye administrative kostnader. I tillegg medfører de ofte andre betingelser knyttet til for eksempel inngåelse av handelsavtaler eller bidrar til å legitimere illegitim gjeld.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0A54CB3E" w14:textId="77777777" w:rsidR="003B7830" w:rsidRDefault="003B7830" w:rsidP="003B7830">
      <w:pPr>
        <w:rPr>
          <w:rFonts w:ascii="DINPro" w:hAnsi="DINPro"/>
          <w:sz w:val="22"/>
          <w:szCs w:val="22"/>
        </w:rPr>
      </w:pPr>
    </w:p>
    <w:p w14:paraId="7205BCB2" w14:textId="77777777" w:rsidR="003B7830" w:rsidRDefault="003B7830" w:rsidP="003B7830">
      <w:pPr>
        <w:rPr>
          <w:rFonts w:ascii="DINPro" w:hAnsi="DINPro"/>
          <w:b/>
          <w:bCs/>
          <w:sz w:val="22"/>
          <w:szCs w:val="22"/>
        </w:rPr>
      </w:pPr>
      <w:r>
        <w:rPr>
          <w:rFonts w:ascii="DINPro" w:hAnsi="DINPro"/>
          <w:b/>
          <w:bCs/>
          <w:sz w:val="22"/>
          <w:szCs w:val="22"/>
        </w:rPr>
        <w:t>Miljø- og klimabistand</w:t>
      </w:r>
    </w:p>
    <w:p w14:paraId="6124FB30" w14:textId="77777777" w:rsidR="003B7830" w:rsidRDefault="003B7830" w:rsidP="003B7830">
      <w:pPr>
        <w:rPr>
          <w:rFonts w:ascii="DINPro" w:hAnsi="DINPro"/>
          <w:strike/>
          <w:sz w:val="22"/>
          <w:szCs w:val="22"/>
        </w:rPr>
      </w:pPr>
      <w:r>
        <w:rPr>
          <w:rFonts w:ascii="DINPro" w:hAnsi="DINPro"/>
          <w:sz w:val="22"/>
          <w:szCs w:val="22"/>
          <w:u w:val="single"/>
        </w:rPr>
        <w:t xml:space="preserve">Endre punkt 10: </w:t>
      </w:r>
      <w:r w:rsidRPr="007F3475">
        <w:rPr>
          <w:rFonts w:ascii="DINPro" w:hAnsi="DINPro"/>
          <w:sz w:val="22"/>
          <w:szCs w:val="22"/>
        </w:rPr>
        <w:t xml:space="preserve">Sikre </w:t>
      </w:r>
      <w:r w:rsidRPr="007F3475">
        <w:rPr>
          <w:rFonts w:ascii="DINPro" w:hAnsi="DINPro"/>
          <w:strike/>
          <w:sz w:val="22"/>
          <w:szCs w:val="22"/>
        </w:rPr>
        <w:t>tilgang til ren energi ved å styrke</w:t>
      </w:r>
      <w:r w:rsidRPr="007F3475">
        <w:rPr>
          <w:rFonts w:ascii="DINPro" w:hAnsi="DINPro"/>
          <w:sz w:val="22"/>
          <w:szCs w:val="22"/>
        </w:rPr>
        <w:t xml:space="preserve"> </w:t>
      </w:r>
      <w:r>
        <w:rPr>
          <w:rFonts w:ascii="DINPro" w:hAnsi="DINPro"/>
          <w:sz w:val="22"/>
          <w:szCs w:val="22"/>
          <w:u w:val="single"/>
        </w:rPr>
        <w:t xml:space="preserve">at den nyetablerte </w:t>
      </w:r>
      <w:r w:rsidRPr="007F3475">
        <w:rPr>
          <w:rFonts w:ascii="DINPro" w:hAnsi="DINPro"/>
          <w:sz w:val="22"/>
          <w:szCs w:val="22"/>
        </w:rPr>
        <w:t>garantiordningen for investeringer i fornybar energi i utviklingsland</w:t>
      </w:r>
      <w:r>
        <w:rPr>
          <w:rFonts w:ascii="DINPro" w:hAnsi="DINPro"/>
          <w:sz w:val="22"/>
          <w:szCs w:val="22"/>
        </w:rPr>
        <w:t xml:space="preserve"> </w:t>
      </w:r>
      <w:r>
        <w:rPr>
          <w:rFonts w:ascii="DINPro" w:hAnsi="DINPro"/>
          <w:sz w:val="22"/>
          <w:szCs w:val="22"/>
          <w:u w:val="single"/>
        </w:rPr>
        <w:t>ivareta hensyn til menneskerettigheter, avstår fra å kreve motpartsgarantier til land med høy gjeldsbyrde og at tapsavsetningen ikke tas fra bistandspotten, slik at denne kan ha ønsket effekt</w:t>
      </w:r>
      <w:r>
        <w:rPr>
          <w:rFonts w:ascii="DINPro" w:hAnsi="DINPro"/>
          <w:strike/>
          <w:sz w:val="22"/>
          <w:szCs w:val="22"/>
        </w:rPr>
        <w:t>.</w:t>
      </w:r>
    </w:p>
    <w:p w14:paraId="62C54A76" w14:textId="77777777" w:rsidR="003B7830" w:rsidRDefault="003B7830" w:rsidP="003B7830">
      <w:pPr>
        <w:rPr>
          <w:rFonts w:ascii="DINPro" w:hAnsi="DINPro"/>
          <w:sz w:val="22"/>
          <w:szCs w:val="22"/>
        </w:rPr>
      </w:pPr>
      <w:r>
        <w:rPr>
          <w:rFonts w:ascii="DINPro" w:hAnsi="DINPro"/>
          <w:sz w:val="22"/>
          <w:szCs w:val="22"/>
          <w:u w:val="single"/>
        </w:rPr>
        <w:t xml:space="preserve">Begrunnelse: </w:t>
      </w:r>
      <w:r>
        <w:rPr>
          <w:rFonts w:ascii="DINPro" w:hAnsi="DINPro"/>
          <w:sz w:val="22"/>
          <w:szCs w:val="22"/>
        </w:rPr>
        <w:t xml:space="preserve">Den nyetablerte garantiordningen vil i dag kreve at både tapsavsetning og evt overskridende tap dekkes av bistandsmidler samt stille krav om motpartsgarantier (enten direkte eller gjennom Verdensbanken som også krever dette). Dette betyr i praksis at dersom et prosjekt går feil (eller mange samtidig som ved </w:t>
      </w:r>
      <w:proofErr w:type="spellStart"/>
      <w:r>
        <w:rPr>
          <w:rFonts w:ascii="DINPro" w:hAnsi="DINPro"/>
          <w:sz w:val="22"/>
          <w:szCs w:val="22"/>
        </w:rPr>
        <w:t>f.eks</w:t>
      </w:r>
      <w:proofErr w:type="spellEnd"/>
      <w:r>
        <w:rPr>
          <w:rFonts w:ascii="DINPro" w:hAnsi="DINPro"/>
          <w:sz w:val="22"/>
          <w:szCs w:val="22"/>
        </w:rPr>
        <w:t xml:space="preserve"> en ny finanskrise) vil det være verdens fattige som betaler regninga. Særlig er det avgjørende å få disse rammene på plass tidlig ettersom det er politiske ambisjoner om å oppskalere ordningen.  </w:t>
      </w:r>
    </w:p>
    <w:p w14:paraId="45C66B88" w14:textId="77777777" w:rsidR="003B7830" w:rsidRPr="007F3475" w:rsidRDefault="003B7830" w:rsidP="003B7830">
      <w:pPr>
        <w:rPr>
          <w:rFonts w:ascii="DINPro" w:hAnsi="DINPro"/>
          <w:sz w:val="22"/>
          <w:szCs w:val="22"/>
          <w:u w:val="single"/>
        </w:rPr>
      </w:pPr>
    </w:p>
    <w:p w14:paraId="68181200" w14:textId="77777777" w:rsidR="003B7830" w:rsidRDefault="003B7830" w:rsidP="003B7830">
      <w:pPr>
        <w:rPr>
          <w:rFonts w:ascii="DINPro" w:hAnsi="DINPro"/>
          <w:sz w:val="22"/>
          <w:szCs w:val="22"/>
          <w:u w:val="single"/>
        </w:rPr>
      </w:pPr>
      <w:r>
        <w:rPr>
          <w:rFonts w:ascii="DINPro" w:hAnsi="DINPro"/>
          <w:sz w:val="22"/>
          <w:szCs w:val="22"/>
          <w:u w:val="single"/>
        </w:rPr>
        <w:t xml:space="preserve">Nytt punkt: </w:t>
      </w:r>
      <w:r w:rsidRPr="007F3475">
        <w:rPr>
          <w:rFonts w:ascii="DINPro" w:hAnsi="DINPro"/>
          <w:sz w:val="22"/>
          <w:szCs w:val="22"/>
          <w:u w:val="single"/>
        </w:rPr>
        <w:t>Jobbe for at klimafinansiering ikke skaper nye gjeldskriser, og hindre at lån rapporteres som klimafinansiering. Særlig må finansiering til tap og skade og tilpasning være rene gavebidrag.</w:t>
      </w:r>
      <w:r>
        <w:rPr>
          <w:rFonts w:ascii="DINPro" w:hAnsi="DINPro"/>
          <w:sz w:val="22"/>
          <w:szCs w:val="22"/>
          <w:u w:val="single"/>
        </w:rPr>
        <w:t xml:space="preserve"> </w:t>
      </w:r>
    </w:p>
    <w:p w14:paraId="7E7782C8" w14:textId="6113ACD8" w:rsidR="003B7830" w:rsidRPr="005A5110" w:rsidRDefault="003B7830" w:rsidP="003B7830">
      <w:pPr>
        <w:rPr>
          <w:rFonts w:ascii="DINPro" w:hAnsi="DINPro"/>
          <w:sz w:val="22"/>
          <w:szCs w:val="22"/>
        </w:rPr>
      </w:pPr>
      <w:r>
        <w:rPr>
          <w:rFonts w:ascii="DINPro" w:hAnsi="DINPro"/>
          <w:sz w:val="22"/>
          <w:szCs w:val="22"/>
          <w:u w:val="single"/>
        </w:rPr>
        <w:t xml:space="preserve">Begrunnelse: </w:t>
      </w:r>
      <w:r>
        <w:rPr>
          <w:rFonts w:ascii="DINPro" w:hAnsi="DINPro"/>
          <w:sz w:val="22"/>
          <w:szCs w:val="22"/>
        </w:rPr>
        <w:t xml:space="preserve">Klimakrisa og gjeldskrisa er gjensidig forsterkende og må løses i sammenheng, derfor kan ikke ytterligere lån til land med allerede høy gjeldsbyrde løse klimakrisa. Særlig til tap og skade og tilpasning er det svært sjeldent et </w:t>
      </w:r>
      <w:r w:rsidRPr="005A5110">
        <w:rPr>
          <w:rFonts w:ascii="DINPro" w:hAnsi="DINPro"/>
          <w:sz w:val="22"/>
          <w:szCs w:val="22"/>
        </w:rPr>
        <w:t>inntjenin</w:t>
      </w:r>
      <w:r w:rsidR="00B60FF1">
        <w:rPr>
          <w:rFonts w:ascii="DINPro" w:hAnsi="DINPro"/>
          <w:sz w:val="22"/>
          <w:szCs w:val="22"/>
        </w:rPr>
        <w:t>g</w:t>
      </w:r>
      <w:r w:rsidRPr="005A5110">
        <w:rPr>
          <w:rFonts w:ascii="DINPro" w:hAnsi="DINPro"/>
          <w:sz w:val="22"/>
          <w:szCs w:val="22"/>
        </w:rPr>
        <w:t xml:space="preserve">sgrunnlag og kan derfor ikke gis som lån.  </w:t>
      </w:r>
    </w:p>
    <w:p w14:paraId="49E12B5E" w14:textId="77777777" w:rsidR="003B7830" w:rsidRDefault="003B7830" w:rsidP="003B7830">
      <w:pPr>
        <w:rPr>
          <w:rFonts w:ascii="DINPro" w:hAnsi="DINPro"/>
          <w:sz w:val="22"/>
          <w:szCs w:val="22"/>
        </w:rPr>
      </w:pPr>
    </w:p>
    <w:p w14:paraId="5E49809A" w14:textId="77777777" w:rsidR="003B7830" w:rsidRPr="003B7830" w:rsidRDefault="003B7830" w:rsidP="003B7830">
      <w:pPr>
        <w:rPr>
          <w:rFonts w:ascii="DINPro" w:hAnsi="DINPro"/>
          <w:sz w:val="22"/>
          <w:szCs w:val="22"/>
        </w:rPr>
      </w:pPr>
    </w:p>
    <w:p w14:paraId="018F87AA" w14:textId="09C3A9B4" w:rsidR="00C72790" w:rsidRPr="003B7830" w:rsidRDefault="003B7830" w:rsidP="00F710B4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  <w:r w:rsidRPr="003B7830">
        <w:rPr>
          <w:rFonts w:ascii="DINPro" w:hAnsi="DINPro"/>
          <w:sz w:val="22"/>
          <w:szCs w:val="22"/>
        </w:rPr>
        <w:t>Lykke til med arbeidet!</w:t>
      </w:r>
    </w:p>
    <w:p w14:paraId="7A5432FC" w14:textId="77777777" w:rsidR="00C72790" w:rsidRPr="003B7830" w:rsidRDefault="00C72790" w:rsidP="00F710B4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</w:p>
    <w:p w14:paraId="3ADB17B7" w14:textId="0F27BA9B" w:rsidR="003B7830" w:rsidRPr="003B7830" w:rsidRDefault="00C72790" w:rsidP="00F710B4">
      <w:pPr>
        <w:pStyle w:val="Brdtekst3"/>
        <w:tabs>
          <w:tab w:val="left" w:pos="2760"/>
        </w:tabs>
        <w:jc w:val="both"/>
        <w:rPr>
          <w:rFonts w:ascii="DINPro" w:hAnsi="DINPro"/>
          <w:sz w:val="21"/>
          <w:szCs w:val="21"/>
        </w:rPr>
      </w:pPr>
      <w:r w:rsidRPr="003B7830">
        <w:rPr>
          <w:rFonts w:ascii="DINPro" w:hAnsi="DINPro"/>
          <w:sz w:val="21"/>
          <w:szCs w:val="21"/>
        </w:rPr>
        <w:t>Vennlig hilsen</w:t>
      </w:r>
      <w:r w:rsidR="003B7830" w:rsidRPr="003B7830">
        <w:rPr>
          <w:rFonts w:ascii="DINPro" w:hAnsi="DINPro"/>
          <w:sz w:val="21"/>
          <w:szCs w:val="21"/>
        </w:rPr>
        <w:t>,</w:t>
      </w:r>
    </w:p>
    <w:p w14:paraId="2D972B04" w14:textId="2B12C4B4" w:rsidR="00C72790" w:rsidRPr="003B7830" w:rsidRDefault="00E61615" w:rsidP="00F710B4">
      <w:pPr>
        <w:pStyle w:val="Brdtekst3"/>
        <w:tabs>
          <w:tab w:val="left" w:pos="2760"/>
        </w:tabs>
        <w:jc w:val="both"/>
        <w:rPr>
          <w:rFonts w:ascii="DINPro" w:hAnsi="DINPro"/>
          <w:sz w:val="21"/>
          <w:szCs w:val="21"/>
        </w:rPr>
      </w:pPr>
      <w:r w:rsidRPr="003B7830">
        <w:rPr>
          <w:rFonts w:ascii="DINPro" w:hAnsi="DINPro"/>
          <w:sz w:val="21"/>
          <w:szCs w:val="21"/>
        </w:rPr>
        <w:t>Julie Rødje</w:t>
      </w:r>
    </w:p>
    <w:p w14:paraId="1B5A0854" w14:textId="77777777" w:rsidR="009E56F1" w:rsidRPr="003B7830" w:rsidRDefault="00C72790" w:rsidP="00F710B4">
      <w:pPr>
        <w:pStyle w:val="Brdtekst3"/>
        <w:tabs>
          <w:tab w:val="left" w:pos="2760"/>
        </w:tabs>
        <w:jc w:val="both"/>
        <w:rPr>
          <w:rFonts w:ascii="DINPro" w:hAnsi="DINPro"/>
          <w:sz w:val="21"/>
          <w:szCs w:val="21"/>
        </w:rPr>
      </w:pPr>
      <w:r w:rsidRPr="003B7830">
        <w:rPr>
          <w:rFonts w:ascii="DINPro" w:hAnsi="DINPro"/>
          <w:sz w:val="21"/>
          <w:szCs w:val="21"/>
        </w:rPr>
        <w:t xml:space="preserve">Daglig leder, </w:t>
      </w:r>
    </w:p>
    <w:p w14:paraId="216E454E" w14:textId="7D169A0D" w:rsidR="00C72790" w:rsidRPr="003B7830" w:rsidRDefault="00C72790" w:rsidP="00F710B4">
      <w:pPr>
        <w:pStyle w:val="Brdtekst3"/>
        <w:tabs>
          <w:tab w:val="left" w:pos="2760"/>
        </w:tabs>
        <w:jc w:val="both"/>
        <w:rPr>
          <w:rFonts w:ascii="DINPro" w:hAnsi="DINPro"/>
          <w:sz w:val="21"/>
          <w:szCs w:val="21"/>
        </w:rPr>
      </w:pPr>
      <w:r w:rsidRPr="003B7830">
        <w:rPr>
          <w:rFonts w:ascii="DINPro" w:hAnsi="DINPro"/>
          <w:sz w:val="21"/>
          <w:szCs w:val="21"/>
        </w:rPr>
        <w:t>SLUG – Nettverk for rettferdig gjeldspolitik</w:t>
      </w:r>
      <w:r w:rsidR="003B7830" w:rsidRPr="003B7830">
        <w:rPr>
          <w:rFonts w:ascii="DINPro" w:hAnsi="DINPro"/>
          <w:sz w:val="21"/>
          <w:szCs w:val="21"/>
        </w:rPr>
        <w:t>k</w:t>
      </w:r>
    </w:p>
    <w:sectPr w:rsidR="00C72790" w:rsidRPr="003B7830" w:rsidSect="00F710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39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E3BC" w14:textId="77777777" w:rsidR="003C5113" w:rsidRDefault="003C5113" w:rsidP="00F710B4">
      <w:r>
        <w:separator/>
      </w:r>
    </w:p>
  </w:endnote>
  <w:endnote w:type="continuationSeparator" w:id="0">
    <w:p w14:paraId="30B4A1BD" w14:textId="77777777" w:rsidR="003C5113" w:rsidRDefault="003C5113" w:rsidP="00F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E0B6" w14:textId="77777777" w:rsidR="009E56F1" w:rsidRDefault="009E56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A34A" w14:textId="77777777" w:rsidR="00F710B4" w:rsidRPr="00DC221C" w:rsidRDefault="005F6FEA" w:rsidP="00F710B4">
    <w:pPr>
      <w:pStyle w:val="Bunntekst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SLUG - </w:t>
    </w:r>
    <w:r w:rsidR="00F710B4" w:rsidRPr="00DC221C">
      <w:rPr>
        <w:rFonts w:ascii="Arial" w:hAnsi="Arial"/>
        <w:sz w:val="18"/>
      </w:rPr>
      <w:t>Nettverk for rettferdig gjeldspolitikk</w:t>
    </w:r>
  </w:p>
  <w:p w14:paraId="2DC60841" w14:textId="77777777" w:rsidR="00F710B4" w:rsidRPr="00622D6F" w:rsidRDefault="009E56F1" w:rsidP="00F710B4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8"/>
        <w:szCs w:val="20"/>
        <w:lang w:eastAsia="nb-NO"/>
      </w:rPr>
    </w:pPr>
    <w:r>
      <w:rPr>
        <w:rFonts w:ascii="Arial" w:hAnsi="Arial" w:cs="Arial"/>
        <w:sz w:val="18"/>
        <w:szCs w:val="20"/>
        <w:lang w:eastAsia="nb-NO"/>
      </w:rPr>
      <w:t>Øvre Slottsgate 3</w:t>
    </w:r>
    <w:r w:rsidR="00F710B4" w:rsidRPr="00622D6F">
      <w:rPr>
        <w:rFonts w:ascii="Arial" w:hAnsi="Arial" w:cs="Arial"/>
        <w:sz w:val="18"/>
        <w:szCs w:val="20"/>
        <w:lang w:eastAsia="nb-NO"/>
      </w:rPr>
      <w:t>, 01</w:t>
    </w:r>
    <w:r w:rsidR="004C15A3">
      <w:rPr>
        <w:rFonts w:ascii="Arial" w:hAnsi="Arial" w:cs="Arial"/>
        <w:sz w:val="18"/>
        <w:szCs w:val="20"/>
        <w:lang w:eastAsia="nb-NO"/>
      </w:rPr>
      <w:t>5</w:t>
    </w:r>
    <w:r>
      <w:rPr>
        <w:rFonts w:ascii="Arial" w:hAnsi="Arial" w:cs="Arial"/>
        <w:sz w:val="18"/>
        <w:szCs w:val="20"/>
        <w:lang w:eastAsia="nb-NO"/>
      </w:rPr>
      <w:t>7</w:t>
    </w:r>
    <w:r w:rsidR="00F710B4" w:rsidRPr="00622D6F">
      <w:rPr>
        <w:rFonts w:ascii="Arial" w:hAnsi="Arial" w:cs="Arial"/>
        <w:sz w:val="18"/>
        <w:szCs w:val="20"/>
        <w:lang w:eastAsia="nb-NO"/>
      </w:rPr>
      <w:t xml:space="preserve"> Oslo / </w:t>
    </w:r>
    <w:hyperlink r:id="rId1" w:history="1">
      <w:r w:rsidR="00F710B4" w:rsidRPr="00622D6F">
        <w:rPr>
          <w:rFonts w:ascii="Arial" w:hAnsi="Arial" w:cs="Arial"/>
          <w:sz w:val="18"/>
          <w:szCs w:val="20"/>
          <w:u w:color="771E20"/>
          <w:lang w:eastAsia="nb-NO"/>
        </w:rPr>
        <w:t>slug@slettgjelda.no</w:t>
      </w:r>
    </w:hyperlink>
    <w:r w:rsidR="00F710B4" w:rsidRPr="00622D6F">
      <w:rPr>
        <w:rFonts w:ascii="Arial" w:hAnsi="Arial" w:cs="Arial"/>
        <w:sz w:val="18"/>
        <w:szCs w:val="20"/>
        <w:lang w:eastAsia="nb-NO"/>
      </w:rPr>
      <w:t xml:space="preserve"> / Org. nr.: 989 155 849</w:t>
    </w:r>
  </w:p>
  <w:p w14:paraId="21376C33" w14:textId="77777777" w:rsidR="00F710B4" w:rsidRPr="00DC221C" w:rsidRDefault="00F710B4" w:rsidP="00F710B4">
    <w:pPr>
      <w:pStyle w:val="Bunntekst"/>
      <w:jc w:val="center"/>
      <w:rPr>
        <w:rFonts w:ascii="Arial" w:hAnsi="Arial"/>
        <w:sz w:val="18"/>
      </w:rPr>
    </w:pPr>
    <w:r>
      <w:rPr>
        <w:rFonts w:ascii="Arial" w:hAnsi="Arial" w:cs="Arial"/>
        <w:sz w:val="18"/>
        <w:szCs w:val="20"/>
        <w:lang w:val="en-US" w:eastAsia="nb-NO"/>
      </w:rPr>
      <w:t>www.</w:t>
    </w:r>
    <w:r w:rsidRPr="00DC221C">
      <w:rPr>
        <w:rFonts w:ascii="Arial" w:hAnsi="Arial" w:cs="Arial"/>
        <w:sz w:val="18"/>
        <w:szCs w:val="20"/>
        <w:lang w:val="en-US" w:eastAsia="nb-NO"/>
      </w:rPr>
      <w:t>slettgjelda.no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D291" w14:textId="77777777" w:rsidR="009E56F1" w:rsidRDefault="009E56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0D16" w14:textId="77777777" w:rsidR="003C5113" w:rsidRDefault="003C5113" w:rsidP="00F710B4">
      <w:r>
        <w:separator/>
      </w:r>
    </w:p>
  </w:footnote>
  <w:footnote w:type="continuationSeparator" w:id="0">
    <w:p w14:paraId="61311C78" w14:textId="77777777" w:rsidR="003C5113" w:rsidRDefault="003C5113" w:rsidP="00F7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CF39" w14:textId="77777777" w:rsidR="009E56F1" w:rsidRDefault="009E56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F223" w14:textId="77777777" w:rsidR="00F710B4" w:rsidRDefault="00F1297C" w:rsidP="00F710B4">
    <w:pPr>
      <w:pStyle w:val="Topptekst"/>
      <w:ind w:firstLine="4248"/>
      <w:jc w:val="right"/>
    </w:pPr>
    <w:r w:rsidRPr="0098590F">
      <w:rPr>
        <w:noProof/>
        <w:lang w:eastAsia="nb-NO"/>
      </w:rPr>
      <w:drawing>
        <wp:inline distT="0" distB="0" distL="0" distR="0" wp14:anchorId="2718B48E" wp14:editId="79D38439">
          <wp:extent cx="3196590" cy="1009650"/>
          <wp:effectExtent l="0" t="0" r="0" b="0"/>
          <wp:docPr id="1" name="Bil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F50E" w14:textId="77777777" w:rsidR="009E56F1" w:rsidRDefault="009E56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5F19"/>
    <w:multiLevelType w:val="hybridMultilevel"/>
    <w:tmpl w:val="6D0E2E4E"/>
    <w:lvl w:ilvl="0" w:tplc="79262D20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C120C"/>
    <w:multiLevelType w:val="hybridMultilevel"/>
    <w:tmpl w:val="F2DC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6821">
    <w:abstractNumId w:val="0"/>
  </w:num>
  <w:num w:numId="2" w16cid:durableId="192691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5"/>
    <w:rsid w:val="000714C0"/>
    <w:rsid w:val="001320E8"/>
    <w:rsid w:val="001E231C"/>
    <w:rsid w:val="00321F9B"/>
    <w:rsid w:val="00340DF9"/>
    <w:rsid w:val="00352655"/>
    <w:rsid w:val="003B7830"/>
    <w:rsid w:val="003C5113"/>
    <w:rsid w:val="003D24B7"/>
    <w:rsid w:val="00410D02"/>
    <w:rsid w:val="004C15A3"/>
    <w:rsid w:val="004C5899"/>
    <w:rsid w:val="00567B18"/>
    <w:rsid w:val="00584DB5"/>
    <w:rsid w:val="005C028F"/>
    <w:rsid w:val="005F6FEA"/>
    <w:rsid w:val="00622D6F"/>
    <w:rsid w:val="007B3D47"/>
    <w:rsid w:val="007E7FA7"/>
    <w:rsid w:val="0083297C"/>
    <w:rsid w:val="009E56F1"/>
    <w:rsid w:val="00B60FF1"/>
    <w:rsid w:val="00BB717F"/>
    <w:rsid w:val="00C673F9"/>
    <w:rsid w:val="00C72790"/>
    <w:rsid w:val="00DC4EE6"/>
    <w:rsid w:val="00E375C2"/>
    <w:rsid w:val="00E61615"/>
    <w:rsid w:val="00E82446"/>
    <w:rsid w:val="00F1297C"/>
    <w:rsid w:val="00F710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562A5A"/>
  <w15:chartTrackingRefBased/>
  <w15:docId w15:val="{5775EDF7-429F-E64A-A4E9-1AEF74F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55C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basedOn w:val="Normal"/>
    <w:link w:val="Brdtekst3Tegn"/>
    <w:uiPriority w:val="99"/>
    <w:unhideWhenUsed/>
    <w:rsid w:val="00E375C2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rsid w:val="00E375C2"/>
    <w:rPr>
      <w:rFonts w:ascii="Cambria" w:eastAsia="Cambria" w:hAnsi="Cambria" w:cs="Times New Roman"/>
      <w:sz w:val="16"/>
      <w:szCs w:val="16"/>
    </w:rPr>
  </w:style>
  <w:style w:type="character" w:styleId="Hyperkobling">
    <w:name w:val="Hyperlink"/>
    <w:uiPriority w:val="99"/>
    <w:unhideWhenUsed/>
    <w:rsid w:val="000804BF"/>
    <w:rPr>
      <w:color w:val="0000FF"/>
      <w:u w:val="single"/>
    </w:rPr>
  </w:style>
  <w:style w:type="character" w:styleId="Merknadsreferanse">
    <w:name w:val="annotation reference"/>
    <w:uiPriority w:val="99"/>
    <w:semiHidden/>
    <w:unhideWhenUsed/>
    <w:rsid w:val="003632C9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32C9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32C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32C9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3632C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32C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3632C9"/>
    <w:rPr>
      <w:rFonts w:ascii="Lucida Grande" w:hAnsi="Lucida Grande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256A7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256A7"/>
  </w:style>
  <w:style w:type="character" w:styleId="Fotnotereferanse">
    <w:name w:val="footnote reference"/>
    <w:uiPriority w:val="99"/>
    <w:semiHidden/>
    <w:unhideWhenUsed/>
    <w:rsid w:val="008256A7"/>
    <w:rPr>
      <w:vertAlign w:val="superscript"/>
    </w:rPr>
  </w:style>
  <w:style w:type="character" w:styleId="Fulgthyperkobling">
    <w:name w:val="FollowedHyperlink"/>
    <w:rsid w:val="007E0BD8"/>
    <w:rPr>
      <w:color w:val="800080"/>
      <w:u w:val="single"/>
    </w:rPr>
  </w:style>
  <w:style w:type="paragraph" w:styleId="Topptekst">
    <w:name w:val="header"/>
    <w:basedOn w:val="Normal"/>
    <w:link w:val="TopptekstTegn"/>
    <w:rsid w:val="001D07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1D07F2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rsid w:val="001D07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1D07F2"/>
    <w:rPr>
      <w:sz w:val="24"/>
      <w:szCs w:val="24"/>
      <w:lang w:eastAsia="en-US"/>
    </w:rPr>
  </w:style>
  <w:style w:type="character" w:customStyle="1" w:styleId="il">
    <w:name w:val="il"/>
    <w:basedOn w:val="Standardskriftforavsnitt"/>
    <w:rsid w:val="00DC4EE6"/>
  </w:style>
  <w:style w:type="character" w:customStyle="1" w:styleId="apple-converted-space">
    <w:name w:val="apple-converted-space"/>
    <w:basedOn w:val="Standardskriftforavsnitt"/>
    <w:rsid w:val="00DC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dad.org/miracle_or_mira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iddleeastmonitor.com/20231117-egypt-fm-no-us-pressure-to-accept-palestinian-displacement-in-exchange-for-debt-relief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lug%40slettgjeld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l/Dropbox/SLUG%20hovedmappe/SLUG%202023/Organisasjon/Brevmal%20SLU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SLUG.dotx</Template>
  <TotalTime>1</TotalTime>
  <Pages>2</Pages>
  <Words>926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5824</CharactersWithSpaces>
  <SharedDoc>false</SharedDoc>
  <HLinks>
    <vt:vector size="6" baseType="variant"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mailto:slug%40slettgjelda.no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Hemsett</dc:creator>
  <cp:keywords/>
  <cp:lastModifiedBy>Maren Hemsett</cp:lastModifiedBy>
  <cp:revision>3</cp:revision>
  <dcterms:created xsi:type="dcterms:W3CDTF">2024-03-05T11:49:00Z</dcterms:created>
  <dcterms:modified xsi:type="dcterms:W3CDTF">2024-03-05T12:00:00Z</dcterms:modified>
</cp:coreProperties>
</file>